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6066" w14:textId="77777777" w:rsidR="005A726E" w:rsidRPr="005A726E" w:rsidRDefault="005A726E" w:rsidP="005A726E">
      <w:pPr>
        <w:rPr>
          <w:rFonts w:ascii="標楷體" w:eastAsia="標楷體" w:hAnsi="標楷體" w:cs="Times New Roman"/>
          <w:sz w:val="36"/>
          <w:szCs w:val="36"/>
        </w:rPr>
      </w:pPr>
      <w:bookmarkStart w:id="0" w:name="_Toc403563545"/>
      <w:bookmarkStart w:id="1" w:name="_Toc401581450"/>
      <w:r w:rsidRPr="005A726E">
        <w:rPr>
          <w:rFonts w:ascii="標楷體" w:eastAsia="標楷體" w:hAnsi="標楷體" w:cs="Times New Roman"/>
          <w:noProof/>
          <w:sz w:val="36"/>
          <w:szCs w:val="36"/>
        </w:rPr>
        <w:drawing>
          <wp:inline distT="0" distB="0" distL="0" distR="0" wp14:anchorId="7F66611E" wp14:editId="7F66611F">
            <wp:extent cx="6083935" cy="9061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_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666067" w14:textId="77777777" w:rsidR="005A726E" w:rsidRPr="005A726E" w:rsidRDefault="005A726E" w:rsidP="005A726E">
      <w:pPr>
        <w:rPr>
          <w:rFonts w:ascii="標楷體" w:eastAsia="標楷體" w:hAnsi="標楷體" w:cs="Times New Roman"/>
          <w:sz w:val="36"/>
          <w:szCs w:val="36"/>
        </w:rPr>
      </w:pPr>
    </w:p>
    <w:p w14:paraId="7F666068" w14:textId="77777777" w:rsidR="005A726E" w:rsidRPr="005A726E" w:rsidRDefault="005A726E" w:rsidP="005A726E">
      <w:pPr>
        <w:rPr>
          <w:rFonts w:ascii="標楷體" w:eastAsia="標楷體" w:hAnsi="標楷體" w:cs="Times New Roman"/>
          <w:b/>
          <w:sz w:val="36"/>
          <w:szCs w:val="36"/>
        </w:rPr>
      </w:pPr>
    </w:p>
    <w:p w14:paraId="7F666069" w14:textId="2BF100ED" w:rsidR="005A726E" w:rsidRPr="005B1D30" w:rsidRDefault="00EE18A9" w:rsidP="005A726E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bookmarkStart w:id="2" w:name="_Toc403563546"/>
      <w:r>
        <w:rPr>
          <w:rFonts w:ascii="標楷體" w:eastAsia="標楷體" w:hAnsi="標楷體" w:cs="Times New Roman" w:hint="eastAsia"/>
          <w:b/>
          <w:sz w:val="48"/>
          <w:szCs w:val="48"/>
        </w:rPr>
        <w:t>外</w:t>
      </w:r>
      <w:r w:rsidR="005A726E" w:rsidRPr="005B1D30">
        <w:rPr>
          <w:rFonts w:ascii="標楷體" w:eastAsia="標楷體" w:hAnsi="標楷體" w:cs="Times New Roman" w:hint="eastAsia"/>
          <w:b/>
          <w:sz w:val="48"/>
          <w:szCs w:val="48"/>
        </w:rPr>
        <w:t>部評鑑實地訪評報告書</w:t>
      </w:r>
      <w:bookmarkEnd w:id="1"/>
      <w:bookmarkEnd w:id="2"/>
    </w:p>
    <w:p w14:paraId="7F66606A" w14:textId="77777777" w:rsidR="005A726E" w:rsidRPr="005B1D30" w:rsidRDefault="005A726E" w:rsidP="005A726E">
      <w:pPr>
        <w:rPr>
          <w:rFonts w:ascii="Calibri" w:eastAsia="新細明體" w:hAnsi="Calibri" w:cs="Times New Roman"/>
          <w:sz w:val="48"/>
          <w:szCs w:val="48"/>
        </w:rPr>
      </w:pPr>
    </w:p>
    <w:p w14:paraId="7F66606B" w14:textId="6FCA917B" w:rsidR="005A726E" w:rsidRPr="005B1D30" w:rsidRDefault="00626779" w:rsidP="005A726E">
      <w:pPr>
        <w:jc w:val="center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</w:t>
      </w:r>
      <w:r w:rsidR="00EE18A9"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</w:t>
      </w:r>
      <w:r w:rsidR="009C09F9" w:rsidRPr="009C09F9">
        <w:rPr>
          <w:rFonts w:ascii="標楷體" w:eastAsia="標楷體" w:hAnsi="標楷體" w:cs="Times New Roman" w:hint="eastAsia"/>
          <w:sz w:val="48"/>
          <w:szCs w:val="48"/>
          <w:u w:val="single"/>
        </w:rPr>
        <w:t>生物科技學</w:t>
      </w:r>
      <w:r>
        <w:rPr>
          <w:rFonts w:ascii="標楷體" w:eastAsia="標楷體" w:hAnsi="標楷體" w:cs="Times New Roman" w:hint="eastAsia"/>
          <w:sz w:val="48"/>
          <w:szCs w:val="48"/>
          <w:u w:val="single"/>
        </w:rPr>
        <w:t xml:space="preserve">  </w:t>
      </w:r>
      <w:r w:rsidR="005A726E" w:rsidRPr="005B1D30">
        <w:rPr>
          <w:rFonts w:ascii="標楷體" w:eastAsia="標楷體" w:hAnsi="標楷體" w:cs="Times New Roman" w:hint="eastAsia"/>
          <w:sz w:val="48"/>
          <w:szCs w:val="48"/>
        </w:rPr>
        <w:t>系</w:t>
      </w:r>
    </w:p>
    <w:p w14:paraId="7F66606C" w14:textId="521BF53A" w:rsidR="005A726E" w:rsidRPr="005B1D30" w:rsidRDefault="009C09F9" w:rsidP="005A726E">
      <w:pPr>
        <w:jc w:val="center"/>
        <w:rPr>
          <w:rFonts w:ascii="標楷體" w:eastAsia="標楷體" w:hAnsi="標楷體" w:cs="Times New Roman"/>
          <w:sz w:val="48"/>
          <w:szCs w:val="48"/>
        </w:rPr>
      </w:pPr>
      <w:proofErr w:type="gramStart"/>
      <w:r>
        <w:rPr>
          <w:rFonts w:ascii="標楷體" w:eastAsia="標楷體" w:hAnsi="標楷體" w:cs="Times New Roman" w:hint="eastAsia"/>
          <w:sz w:val="48"/>
          <w:szCs w:val="48"/>
        </w:rPr>
        <w:t>▓</w:t>
      </w:r>
      <w:proofErr w:type="gramEnd"/>
      <w:r w:rsidR="005A726E" w:rsidRPr="005B1D30">
        <w:rPr>
          <w:rFonts w:ascii="標楷體" w:eastAsia="標楷體" w:hAnsi="標楷體" w:cs="Times New Roman" w:hint="eastAsia"/>
          <w:sz w:val="48"/>
          <w:szCs w:val="48"/>
        </w:rPr>
        <w:t xml:space="preserve">學士班  </w:t>
      </w:r>
      <w:r w:rsidR="00843DCC">
        <w:rPr>
          <w:rFonts w:ascii="標楷體" w:eastAsia="標楷體" w:hAnsi="標楷體" w:cs="Times New Roman" w:hint="eastAsia"/>
          <w:sz w:val="48"/>
          <w:szCs w:val="48"/>
        </w:rPr>
        <w:t>■</w:t>
      </w:r>
      <w:r w:rsidR="005A726E" w:rsidRPr="005B1D30">
        <w:rPr>
          <w:rFonts w:ascii="標楷體" w:eastAsia="標楷體" w:hAnsi="標楷體" w:cs="Times New Roman" w:hint="eastAsia"/>
          <w:sz w:val="48"/>
          <w:szCs w:val="48"/>
        </w:rPr>
        <w:t xml:space="preserve">碩士班  </w:t>
      </w:r>
      <w:r w:rsidR="00EE18A9">
        <w:rPr>
          <w:rFonts w:ascii="標楷體" w:eastAsia="標楷體" w:hAnsi="標楷體" w:cs="Times New Roman" w:hint="eastAsia"/>
          <w:sz w:val="48"/>
          <w:szCs w:val="48"/>
        </w:rPr>
        <w:t>□</w:t>
      </w:r>
      <w:r w:rsidR="005A726E" w:rsidRPr="005B1D30">
        <w:rPr>
          <w:rFonts w:ascii="標楷體" w:eastAsia="標楷體" w:hAnsi="標楷體" w:cs="Times New Roman" w:hint="eastAsia"/>
          <w:sz w:val="48"/>
          <w:szCs w:val="48"/>
        </w:rPr>
        <w:t>博士班</w:t>
      </w:r>
    </w:p>
    <w:p w14:paraId="7F66606D" w14:textId="44D863A2" w:rsidR="005B1D30" w:rsidRPr="005B1D30" w:rsidRDefault="00391D83" w:rsidP="005B1D30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5B1D30">
        <w:rPr>
          <w:rFonts w:ascii="標楷體" w:eastAsia="標楷體" w:hAnsi="標楷體" w:cs="Times New Roman" w:hint="eastAsia"/>
          <w:sz w:val="48"/>
          <w:szCs w:val="48"/>
        </w:rPr>
        <w:t>□</w:t>
      </w:r>
      <w:r w:rsidR="005A726E" w:rsidRPr="005B1D30">
        <w:rPr>
          <w:rFonts w:ascii="標楷體" w:eastAsia="標楷體" w:hAnsi="標楷體" w:cs="Times New Roman" w:hint="eastAsia"/>
          <w:sz w:val="48"/>
          <w:szCs w:val="48"/>
        </w:rPr>
        <w:t xml:space="preserve">進修學士班  </w:t>
      </w:r>
      <w:r w:rsidR="00EE18A9">
        <w:rPr>
          <w:rFonts w:ascii="標楷體" w:eastAsia="標楷體" w:hAnsi="標楷體" w:cs="Times New Roman" w:hint="eastAsia"/>
          <w:sz w:val="48"/>
          <w:szCs w:val="48"/>
        </w:rPr>
        <w:t>□</w:t>
      </w:r>
      <w:r w:rsidR="005A726E" w:rsidRPr="005B1D30">
        <w:rPr>
          <w:rFonts w:ascii="標楷體" w:eastAsia="標楷體" w:hAnsi="標楷體" w:cs="Times New Roman" w:hint="eastAsia"/>
          <w:sz w:val="48"/>
          <w:szCs w:val="48"/>
        </w:rPr>
        <w:t>碩士在職專班</w:t>
      </w:r>
    </w:p>
    <w:p w14:paraId="7F66606E" w14:textId="77777777" w:rsidR="005B1D30" w:rsidRDefault="005B1D30" w:rsidP="005A726E">
      <w:pPr>
        <w:spacing w:afterLines="50" w:after="180" w:line="500" w:lineRule="exact"/>
        <w:ind w:left="482"/>
        <w:rPr>
          <w:rFonts w:ascii="標楷體" w:eastAsia="標楷體" w:hAnsi="標楷體" w:cs="Times New Roman"/>
          <w:b/>
          <w:sz w:val="32"/>
          <w:szCs w:val="28"/>
        </w:rPr>
      </w:pPr>
    </w:p>
    <w:p w14:paraId="7F666078" w14:textId="77777777" w:rsidR="005A726E" w:rsidRPr="005B1D30" w:rsidRDefault="005A726E" w:rsidP="005A726E">
      <w:pPr>
        <w:rPr>
          <w:rFonts w:ascii="Calibri" w:eastAsia="新細明體" w:hAnsi="Calibri" w:cs="Times New Roman"/>
          <w:sz w:val="28"/>
        </w:rPr>
        <w:sectPr w:rsidR="005A726E" w:rsidRPr="005B1D30" w:rsidSect="00626779">
          <w:footerReference w:type="default" r:id="rId12"/>
          <w:footerReference w:type="first" r:id="rId13"/>
          <w:pgSz w:w="11906" w:h="16838"/>
          <w:pgMar w:top="1440" w:right="851" w:bottom="1440" w:left="1474" w:header="851" w:footer="992" w:gutter="0"/>
          <w:cols w:space="720"/>
          <w:titlePg/>
          <w:docGrid w:type="lines" w:linePitch="360"/>
        </w:sectPr>
      </w:pPr>
    </w:p>
    <w:p w14:paraId="7F666079" w14:textId="77777777" w:rsidR="005B1D30" w:rsidRPr="005A726E" w:rsidRDefault="005B1D30" w:rsidP="005B1D30">
      <w:pPr>
        <w:widowControl/>
        <w:rPr>
          <w:rFonts w:ascii="標楷體" w:eastAsia="標楷體" w:hAnsi="標楷體"/>
          <w:b/>
          <w:sz w:val="36"/>
          <w:szCs w:val="36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</w:t>
      </w:r>
      <w:proofErr w:type="gramStart"/>
      <w:r w:rsidRPr="005A726E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5A726E">
        <w:rPr>
          <w:rFonts w:ascii="標楷體" w:eastAsia="標楷體" w:hAnsi="標楷體" w:hint="eastAsia"/>
          <w:b/>
          <w:sz w:val="36"/>
          <w:szCs w:val="36"/>
        </w:rPr>
        <w:t>：系所目標與特色發展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81" w14:textId="77777777" w:rsidTr="00991BC1">
        <w:tc>
          <w:tcPr>
            <w:tcW w:w="9356" w:type="dxa"/>
          </w:tcPr>
          <w:p w14:paraId="7F66607A" w14:textId="77777777" w:rsidR="005B1D30" w:rsidRPr="005A726E" w:rsidRDefault="005B1D30" w:rsidP="0066643E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0EFD3252" w14:textId="1A3231E3" w:rsidR="0066643E" w:rsidRPr="00BA6274" w:rsidRDefault="00BA6274" w:rsidP="0066643E">
            <w:pPr>
              <w:pStyle w:val="aa"/>
              <w:snapToGrid w:val="0"/>
              <w:spacing w:line="288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依國家產業人才需求</w:t>
            </w:r>
            <w:bookmarkStart w:id="3" w:name="OLE_LINK83"/>
            <w:bookmarkStart w:id="4" w:name="OLE_LINK84"/>
            <w:bookmarkStart w:id="5" w:name="OLE_LINK156"/>
            <w:bookmarkStart w:id="6" w:name="OLE_LINK157"/>
            <w:bookmarkStart w:id="7" w:name="OLE_LINK166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bookmarkEnd w:id="3"/>
            <w:bookmarkEnd w:id="4"/>
            <w:bookmarkEnd w:id="5"/>
            <w:bookmarkEnd w:id="6"/>
            <w:bookmarkEnd w:id="7"/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學校定位，訂定教育目標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融入通才教育，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同時將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理論與實務結合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，引導學生</w:t>
            </w:r>
            <w:r w:rsidR="00CD0790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將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所學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應用於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職場，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達成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培育生物科技人才的</w:t>
            </w:r>
            <w:bookmarkStart w:id="8" w:name="OLE_LINK164"/>
            <w:bookmarkStart w:id="9" w:name="OLE_LINK165"/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目標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bookmarkEnd w:id="8"/>
            <w:bookmarkEnd w:id="9"/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符合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設立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「配合國家推動生物科技發展政策，培養生物科技產業所需專業人員」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宗旨。</w:t>
            </w:r>
          </w:p>
          <w:p w14:paraId="2280319B" w14:textId="168D7E52" w:rsidR="0066643E" w:rsidRPr="00BA6274" w:rsidRDefault="0066643E" w:rsidP="0066643E">
            <w:pPr>
              <w:pStyle w:val="aa"/>
              <w:snapToGrid w:val="0"/>
              <w:spacing w:line="288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課程規劃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</w:t>
            </w:r>
            <w:proofErr w:type="gramStart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達成</w:t>
            </w:r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的教育目標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為目的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，配合國家政策</w:t>
            </w:r>
            <w:r w:rsidRPr="00BA6274">
              <w:rPr>
                <w:rFonts w:ascii="Times New Roman" w:eastAsia="標楷體" w:hAnsi="Times New Roman" w:cs="Times New Roman"/>
                <w:bCs/>
                <w:szCs w:val="24"/>
              </w:rPr>
              <w:t>、產業需求</w:t>
            </w:r>
            <w:bookmarkStart w:id="10" w:name="OLE_LINK81"/>
            <w:bookmarkStart w:id="11" w:name="OLE_LINK82"/>
            <w:r w:rsidRPr="00BA6274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bookmarkEnd w:id="10"/>
            <w:bookmarkEnd w:id="11"/>
            <w:r w:rsidRPr="00BA6274">
              <w:rPr>
                <w:rFonts w:ascii="Times New Roman" w:eastAsia="標楷體" w:hAnsi="Times New Roman" w:cs="Times New Roman"/>
                <w:bCs/>
                <w:szCs w:val="24"/>
              </w:rPr>
              <w:t>學術領域發展趨勢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及學生意見</w:t>
            </w:r>
            <w:r w:rsidRPr="00BA6274">
              <w:rPr>
                <w:rFonts w:ascii="Times New Roman" w:eastAsia="標楷體" w:hAnsi="Times New Roman" w:cs="Times New Roman"/>
                <w:bCs/>
                <w:szCs w:val="24"/>
              </w:rPr>
              <w:t>等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因素，逐年適度</w:t>
            </w:r>
            <w:r w:rsidRPr="00BA6274">
              <w:rPr>
                <w:rFonts w:ascii="Times New Roman" w:eastAsia="標楷體" w:hAnsi="Times New Roman" w:cs="Times New Roman"/>
                <w:bCs/>
                <w:szCs w:val="24"/>
              </w:rPr>
              <w:t>調整</w:t>
            </w:r>
            <w:bookmarkStart w:id="12" w:name="OLE_LINK85"/>
            <w:bookmarkStart w:id="13" w:name="OLE_LINK86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。大學部</w:t>
            </w:r>
            <w:bookmarkEnd w:id="12"/>
            <w:bookmarkEnd w:id="13"/>
            <w:r w:rsidR="00CD0790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從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學年</w:t>
            </w:r>
            <w:r w:rsidR="00CD0790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度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，逐年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設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置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「微生物技術學程」</w:t>
            </w:r>
            <w:bookmarkStart w:id="14" w:name="OLE_LINK160"/>
            <w:bookmarkStart w:id="15" w:name="OLE_LINK161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bookmarkEnd w:id="14"/>
            <w:bookmarkEnd w:id="15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「醫藥生物技術學程」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「應用生物技術學程」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「生物醫學技術學程」及「生物產業經營管理學程」等專業學程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；</w:t>
            </w:r>
            <w:r w:rsidRPr="00BA6274">
              <w:rPr>
                <w:rFonts w:ascii="Times New Roman" w:eastAsia="標楷體" w:hAnsi="Times New Roman" w:cs="Times New Roman" w:hint="eastAsia"/>
                <w:szCs w:val="24"/>
              </w:rPr>
              <w:t>碩士班</w:t>
            </w:r>
            <w:r w:rsidRPr="00BA6274">
              <w:rPr>
                <w:rFonts w:ascii="Times New Roman" w:eastAsia="標楷體" w:hAnsi="Times New Roman" w:cs="Times New Roman"/>
                <w:szCs w:val="24"/>
              </w:rPr>
              <w:t>規劃「醫藥生物科技」及「生物農業科技」二專業學群，</w:t>
            </w:r>
            <w:r w:rsidRPr="00BA6274">
              <w:rPr>
                <w:rFonts w:ascii="Times New Roman" w:eastAsia="標楷體" w:hAnsi="Times New Roman" w:cs="Times New Roman" w:hint="eastAsia"/>
                <w:szCs w:val="24"/>
              </w:rPr>
              <w:t>使</w:t>
            </w:r>
            <w:r w:rsidRPr="00BA6274">
              <w:rPr>
                <w:rFonts w:ascii="Times New Roman" w:eastAsia="標楷體" w:hAnsi="Times New Roman" w:cs="Times New Roman"/>
                <w:szCs w:val="24"/>
              </w:rPr>
              <w:t>教育目標與</w:t>
            </w:r>
            <w:r w:rsidRPr="00BA6274">
              <w:rPr>
                <w:rFonts w:ascii="Times New Roman" w:eastAsia="標楷體" w:hAnsi="Times New Roman" w:cs="Times New Roman" w:hint="eastAsia"/>
                <w:szCs w:val="24"/>
              </w:rPr>
              <w:t>學習</w:t>
            </w:r>
            <w:r w:rsidRPr="00BA6274">
              <w:rPr>
                <w:rFonts w:ascii="Times New Roman" w:eastAsia="標楷體" w:hAnsi="Times New Roman" w:cs="Times New Roman"/>
                <w:szCs w:val="24"/>
              </w:rPr>
              <w:t>課程緊密結合，確實能反映教學與</w:t>
            </w:r>
            <w:r w:rsidRPr="00BA6274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BA6274">
              <w:rPr>
                <w:rFonts w:ascii="Times New Roman" w:eastAsia="標楷體" w:hAnsi="Times New Roman" w:cs="Times New Roman"/>
                <w:szCs w:val="24"/>
              </w:rPr>
              <w:t>學習</w:t>
            </w:r>
            <w:r w:rsidRPr="00BA6274">
              <w:rPr>
                <w:rFonts w:ascii="Times New Roman" w:eastAsia="標楷體" w:hAnsi="Times New Roman" w:cs="Times New Roman" w:hint="eastAsia"/>
                <w:szCs w:val="24"/>
              </w:rPr>
              <w:t>成效</w:t>
            </w:r>
            <w:r w:rsidRPr="00BA6274">
              <w:rPr>
                <w:rFonts w:ascii="Times New Roman" w:eastAsia="標楷體" w:hAnsi="Times New Roman" w:cs="Times New Roman"/>
                <w:szCs w:val="24"/>
              </w:rPr>
              <w:t>，讓學生在紮實的理論基礎下配合實務操作的訓練，達到理論</w:t>
            </w:r>
            <w:r w:rsidRPr="00BA6274">
              <w:rPr>
                <w:rFonts w:ascii="Times New Roman" w:eastAsia="標楷體" w:hAnsi="Times New Roman" w:cs="Times New Roman" w:hint="eastAsia"/>
                <w:szCs w:val="24"/>
              </w:rPr>
              <w:t>與實務應用，</w:t>
            </w:r>
            <w:proofErr w:type="gramStart"/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符合</w:t>
            </w:r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培育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中高階之</w:t>
            </w:r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農業、環境及</w:t>
            </w:r>
            <w:proofErr w:type="gramStart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醫</w:t>
            </w:r>
            <w:proofErr w:type="gramEnd"/>
            <w:r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衛保健等生物科技人才的</w:t>
            </w:r>
            <w:r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目標。</w:t>
            </w:r>
          </w:p>
          <w:p w14:paraId="2AFBDB88" w14:textId="4AF660FC" w:rsidR="0066643E" w:rsidRPr="00BA6274" w:rsidRDefault="00BA6274" w:rsidP="0066643E">
            <w:pPr>
              <w:pStyle w:val="aa"/>
              <w:snapToGrid w:val="0"/>
              <w:spacing w:line="288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具有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食藥用菇類栽培與應用、水稻生技研究二大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優勢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發展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特色</w:t>
            </w:r>
            <w:r w:rsidR="00CD0790" w:rsidRPr="00BA6274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並</w:t>
            </w:r>
            <w:r w:rsidR="00CD0790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在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醫藥暨健康學院</w:t>
            </w:r>
            <w:r w:rsidR="00CD0790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下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設有食藥用菇類研究中心，擁有菇類從生產、功能至產品開發</w:t>
            </w:r>
            <w:proofErr w:type="gramStart"/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完整之研究團隊</w:t>
            </w:r>
            <w:r w:rsidR="00CD0790" w:rsidRPr="00BA6274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同時是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中央研究院委託授權的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T-DNA Tagged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水稻生技研發及科技轉移平台中心，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與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農業試驗所及農業藥物毒物試驗所</w:t>
            </w:r>
            <w:r w:rsidR="00CD0790" w:rsidRPr="00BA6274">
              <w:rPr>
                <w:rFonts w:ascii="Times New Roman" w:eastAsia="標楷體" w:hAnsi="Times New Roman" w:cs="Times New Roman"/>
                <w:bCs/>
                <w:szCs w:val="24"/>
              </w:rPr>
              <w:t>有研究合作</w:t>
            </w:r>
            <w:r w:rsidR="00CD0790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關係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="00CD0790" w:rsidRPr="00BA6274">
              <w:rPr>
                <w:rFonts w:ascii="Times New Roman" w:eastAsia="標楷體" w:hAnsi="Times New Roman" w:cs="Times New Roman"/>
                <w:bCs/>
                <w:szCs w:val="24"/>
              </w:rPr>
              <w:t>可望</w:t>
            </w:r>
            <w:r w:rsidR="00CD0790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成</w:t>
            </w:r>
            <w:r w:rsidR="00CD0790" w:rsidRPr="00BA6274">
              <w:rPr>
                <w:rFonts w:ascii="Times New Roman" w:eastAsia="標楷體" w:hAnsi="Times New Roman" w:cs="Times New Roman"/>
                <w:bCs/>
                <w:szCs w:val="24"/>
              </w:rPr>
              <w:t>為我國菇類</w:t>
            </w:r>
            <w:r w:rsidR="00CD0790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水稻生技研究重鎮。</w:t>
            </w:r>
          </w:p>
          <w:p w14:paraId="7F666080" w14:textId="7EA11A14" w:rsidR="005B1D30" w:rsidRPr="005A726E" w:rsidRDefault="00BA6274" w:rsidP="0066643E">
            <w:pPr>
              <w:pStyle w:val="aa"/>
              <w:snapToGrid w:val="0"/>
              <w:spacing w:line="288" w:lineRule="auto"/>
              <w:ind w:leftChars="0" w:left="0" w:firstLineChars="200" w:firstLine="480"/>
              <w:jc w:val="both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教師以微生物檢測、化學分析、萃取技術、生物化學、基因體學、蛋白質體學之雄厚研發能量為基礎，持續進行產學合作，並得科技部、農委會、經濟部等政府機構之補助</w:t>
            </w:r>
            <w:bookmarkStart w:id="16" w:name="OLE_LINK95"/>
            <w:bookmarkStart w:id="17" w:name="OLE_LINK96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bookmarkEnd w:id="16"/>
            <w:bookmarkEnd w:id="17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進而在微生物檢測的方法上不斷創新。為開發新的應用契機，並反應社會食品安全檢測之需求，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系正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規劃微生物檢測實驗室，將可配合興建中之亞洲大學附設醫院之運作。</w:t>
            </w:r>
          </w:p>
        </w:tc>
      </w:tr>
      <w:tr w:rsidR="005B1D30" w:rsidRPr="005A726E" w14:paraId="7F66608B" w14:textId="77777777" w:rsidTr="00991BC1">
        <w:tc>
          <w:tcPr>
            <w:tcW w:w="9356" w:type="dxa"/>
          </w:tcPr>
          <w:p w14:paraId="7F666082" w14:textId="77777777" w:rsidR="005B1D30" w:rsidRPr="005A726E" w:rsidRDefault="005B1D30" w:rsidP="0066643E">
            <w:pPr>
              <w:widowControl/>
              <w:spacing w:line="276" w:lineRule="auto"/>
              <w:ind w:leftChars="-2" w:left="-5" w:firstLineChars="6" w:firstLine="19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255CA94A" w14:textId="2DC01760" w:rsidR="0066643E" w:rsidRPr="00BA6274" w:rsidRDefault="0066643E" w:rsidP="0066643E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ind w:leftChars="0" w:left="482" w:hangingChars="201" w:hanging="482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建議規劃中長程的研發計畫，</w:t>
            </w:r>
            <w:r w:rsidR="00CD0790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以</w:t>
            </w:r>
            <w:proofErr w:type="gramStart"/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突顯</w:t>
            </w:r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在精緻農業生技特色</w:t>
            </w:r>
            <w:r w:rsidRPr="00BA6274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14:paraId="7F66608A" w14:textId="6B83F3D8" w:rsidR="005B1D30" w:rsidRPr="0066643E" w:rsidRDefault="00BA6274" w:rsidP="00CD0790">
            <w:pPr>
              <w:pStyle w:val="aa"/>
              <w:numPr>
                <w:ilvl w:val="0"/>
                <w:numId w:val="7"/>
              </w:numPr>
              <w:snapToGrid w:val="0"/>
              <w:spacing w:line="360" w:lineRule="auto"/>
              <w:ind w:leftChars="0" w:left="482" w:hangingChars="201" w:hanging="482"/>
              <w:jc w:val="both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CD0790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多元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學程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設置，應評估對教師專業、儀器設備及教學資源造成</w:t>
            </w:r>
            <w:r w:rsidR="00CD0790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衝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擊，建議進一步瞭解學生對多元學程的接受度與學習成效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14:paraId="7F66608C" w14:textId="77777777" w:rsidR="005B1D30" w:rsidRDefault="005B1D30" w:rsidP="005B1D30">
      <w:pPr>
        <w:widowControl/>
        <w:rPr>
          <w:rFonts w:ascii="標楷體" w:eastAsia="標楷體" w:hAnsi="標楷體"/>
          <w:b/>
          <w:sz w:val="36"/>
          <w:szCs w:val="36"/>
        </w:rPr>
        <w:sectPr w:rsidR="005B1D30" w:rsidSect="00626779">
          <w:pgSz w:w="11906" w:h="16838"/>
          <w:pgMar w:top="1440" w:right="851" w:bottom="1440" w:left="1474" w:header="851" w:footer="992" w:gutter="0"/>
          <w:pgNumType w:start="1"/>
          <w:cols w:space="720"/>
          <w:docGrid w:type="lines" w:linePitch="360"/>
        </w:sectPr>
      </w:pPr>
    </w:p>
    <w:p w14:paraId="7F66608D" w14:textId="77777777" w:rsidR="005B1D30" w:rsidRPr="005A726E" w:rsidRDefault="005B1D30" w:rsidP="005B1D30">
      <w:pPr>
        <w:widowControl/>
        <w:rPr>
          <w:rFonts w:ascii="標楷體" w:eastAsia="標楷體" w:hAnsi="標楷體"/>
          <w:b/>
          <w:szCs w:val="24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項目二：課程規劃設計與行政支援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95" w14:textId="77777777" w:rsidTr="00991BC1">
        <w:tc>
          <w:tcPr>
            <w:tcW w:w="9356" w:type="dxa"/>
          </w:tcPr>
          <w:p w14:paraId="7F66608E" w14:textId="77777777" w:rsidR="005B1D30" w:rsidRPr="005A726E" w:rsidRDefault="005B1D30" w:rsidP="0066643E">
            <w:pPr>
              <w:widowControl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3E811803" w14:textId="78C628DB" w:rsidR="0066643E" w:rsidRPr="00BA6274" w:rsidRDefault="00BA6274" w:rsidP="0066643E">
            <w:pPr>
              <w:pStyle w:val="aa"/>
              <w:snapToGrid w:val="0"/>
              <w:spacing w:line="312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課程規劃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以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系所發展方向、教育目標與核心能力擬定。大學部課程以「微生物生物技術學程」、「醫藥生物技術學程」及「應用生物技術學程」等三大主軸規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劃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，引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導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學生對生命科學領域之興趣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，同時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為鼓勵學生跨領域學習及增加學生學習之彈性，拓展視野，將專業學程修改為「生物醫學技術學程」和「應用生物技術學程」，並增設「自由選修課程」及「跨領域學程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健康照護保健生技學程」。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使學生在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修習專業課程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的時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不但可學到理論基礎，並能應用於實務上，在通才教育之外，更能學有專精，成為生物科技產業提供發展所需之人力；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碩士班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課程則規劃醫藥生物技術及生物農業技術二大專業核心課程，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使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學生可依興趣及研究需求進行完整之學習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足見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課程規劃設計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完備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使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學生畢業時</w:t>
            </w:r>
            <w:proofErr w:type="gramStart"/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具備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所訂定之知識、技能與態度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核心能力。</w:t>
            </w:r>
          </w:p>
          <w:p w14:paraId="7F666094" w14:textId="6EEB3947" w:rsidR="005B1D30" w:rsidRPr="005A726E" w:rsidRDefault="00BA6274" w:rsidP="0066643E">
            <w:pPr>
              <w:pStyle w:val="aa"/>
              <w:snapToGrid w:val="0"/>
              <w:spacing w:line="312" w:lineRule="auto"/>
              <w:ind w:leftChars="0" w:left="0" w:firstLineChars="200" w:firstLine="480"/>
              <w:jc w:val="both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師資專業多元且具有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豐富研究資源，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為鼓勵學生在求學過程中，積極投入專題研究，制定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大學部的畢業門檻為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學士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畢業專題論文，碩士班的畢業門檻則是須在學術期刊或研討會上發表論文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突顯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在學習、實務及研究之要求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因而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大部份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學生從大二開始便積極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加入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校內或是在校外合作的實驗室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之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研究，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有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助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提供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學生在學習與研究上的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實際體認與開發新應用的寶貴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契機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落實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以關懷為出發點，力求學理及實際應用並重，並配合產業之需求，因應時代潮流趨勢，訓練學生成為具有「健康、關懷、創新、卓越」觀念的生物科技及產業實務之專業人才。</w:t>
            </w:r>
          </w:p>
        </w:tc>
      </w:tr>
      <w:tr w:rsidR="005B1D30" w:rsidRPr="005A726E" w14:paraId="7F66609F" w14:textId="77777777" w:rsidTr="00991BC1">
        <w:tc>
          <w:tcPr>
            <w:tcW w:w="9356" w:type="dxa"/>
          </w:tcPr>
          <w:p w14:paraId="7F666096" w14:textId="77777777" w:rsidR="005B1D30" w:rsidRPr="005A726E" w:rsidRDefault="005B1D30" w:rsidP="0066643E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04684BAA" w14:textId="2DF61B1B" w:rsidR="0066643E" w:rsidRPr="00BA6274" w:rsidRDefault="00BA6274" w:rsidP="0066643E">
            <w:pPr>
              <w:pStyle w:val="aa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D1560C" w:rsidRPr="00BA6274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proofErr w:type="gramEnd"/>
            <w:r w:rsidR="00D1560C" w:rsidRPr="00BA6274">
              <w:rPr>
                <w:rFonts w:ascii="Times New Roman" w:eastAsia="標楷體" w:hAnsi="Times New Roman" w:cs="Times New Roman" w:hint="eastAsia"/>
                <w:szCs w:val="24"/>
              </w:rPr>
              <w:t>設立之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學程依據貴校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課程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學程化實施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要點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="0066643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規劃稍薄弱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建議每</w:t>
            </w:r>
            <w:proofErr w:type="gramStart"/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學程</w:t>
            </w:r>
            <w:r w:rsidR="0011594E" w:rsidRPr="00BA6274">
              <w:rPr>
                <w:rFonts w:ascii="Times New Roman" w:eastAsia="標楷體" w:hAnsi="Times New Roman" w:cs="Times New Roman" w:hint="eastAsia"/>
                <w:szCs w:val="24"/>
              </w:rPr>
              <w:t>宜有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設置辦法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F66609E" w14:textId="32E07B88" w:rsidR="005B1D30" w:rsidRPr="0066643E" w:rsidRDefault="00BA6274" w:rsidP="0066643E">
            <w:pPr>
              <w:pStyle w:val="aa"/>
              <w:numPr>
                <w:ilvl w:val="0"/>
                <w:numId w:val="8"/>
              </w:numPr>
              <w:snapToGrid w:val="0"/>
              <w:spacing w:beforeLines="50" w:before="180" w:after="180" w:line="440" w:lineRule="exact"/>
              <w:ind w:leftChars="0"/>
              <w:jc w:val="both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為理論與實務並重的科系，若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教學內</w:t>
            </w:r>
            <w:r w:rsidR="0011594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涵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沒有實務經驗，可能導致學生無法將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課本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所學融會貫通，無法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融入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現今產業所需。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系</w:t>
            </w:r>
            <w:proofErr w:type="gramEnd"/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雖已從</w:t>
            </w:r>
            <w:r w:rsidR="0066643E" w:rsidRPr="00BA6274">
              <w:rPr>
                <w:rFonts w:ascii="Times New Roman" w:eastAsia="標楷體" w:hAnsi="Times New Roman" w:cs="Times New Roman"/>
                <w:bCs/>
                <w:szCs w:val="24"/>
              </w:rPr>
              <w:t>課程結合</w:t>
            </w:r>
            <w:r w:rsidR="0011594E" w:rsidRPr="00BA6274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產業結合</w:t>
            </w:r>
            <w:r w:rsidR="0011594E" w:rsidRPr="00BA6274">
              <w:rPr>
                <w:rFonts w:ascii="Times New Roman" w:eastAsia="標楷體" w:hAnsi="Times New Roman" w:cs="Times New Roman"/>
                <w:bCs/>
                <w:szCs w:val="24"/>
              </w:rPr>
              <w:t>、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業界結合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66643E" w:rsidRPr="00BA6274">
              <w:rPr>
                <w:rFonts w:ascii="Times New Roman" w:eastAsia="標楷體" w:hAnsi="Times New Roman" w:cs="Times New Roman"/>
                <w:kern w:val="0"/>
                <w:szCs w:val="24"/>
              </w:rPr>
              <w:t>就業結合</w:t>
            </w:r>
            <w:r w:rsidR="0066643E" w:rsidRPr="00BA627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等面向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規劃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6643E" w:rsidRPr="00BA6274">
              <w:rPr>
                <w:rFonts w:ascii="Times New Roman" w:eastAsia="標楷體" w:hAnsi="Times New Roman" w:cs="Times New Roman" w:hint="eastAsia"/>
                <w:szCs w:val="24"/>
              </w:rPr>
              <w:t>應積極落實實施</w:t>
            </w:r>
            <w:r w:rsidR="0066643E" w:rsidRPr="00BA627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7F6660A0" w14:textId="77777777" w:rsidR="005B1D30" w:rsidRPr="005A726E" w:rsidRDefault="005B1D30" w:rsidP="005B1D30">
      <w:pPr>
        <w:widowControl/>
        <w:spacing w:line="276" w:lineRule="auto"/>
        <w:ind w:leftChars="-1" w:left="-2" w:firstLineChars="204" w:firstLine="735"/>
        <w:rPr>
          <w:rFonts w:ascii="標楷體" w:eastAsia="標楷體" w:hAnsi="標楷體"/>
          <w:b/>
          <w:sz w:val="36"/>
          <w:szCs w:val="36"/>
        </w:rPr>
        <w:sectPr w:rsidR="005B1D30" w:rsidRPr="005A726E" w:rsidSect="00626779">
          <w:pgSz w:w="11906" w:h="16838"/>
          <w:pgMar w:top="1440" w:right="851" w:bottom="1440" w:left="1474" w:header="851" w:footer="992" w:gutter="0"/>
          <w:cols w:space="720"/>
          <w:docGrid w:type="lines" w:linePitch="360"/>
        </w:sectPr>
      </w:pPr>
    </w:p>
    <w:p w14:paraId="7F6660A1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lastRenderedPageBreak/>
        <w:t>項目</w:t>
      </w:r>
      <w:proofErr w:type="gramStart"/>
      <w:r w:rsidRPr="005A726E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Pr="005A726E">
        <w:rPr>
          <w:rFonts w:ascii="標楷體" w:eastAsia="標楷體" w:hAnsi="標楷體" w:hint="eastAsia"/>
          <w:b/>
          <w:sz w:val="36"/>
          <w:szCs w:val="36"/>
        </w:rPr>
        <w:t>：教師教學與輔導(含學習評量)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A9" w14:textId="77777777" w:rsidTr="00991BC1">
        <w:tc>
          <w:tcPr>
            <w:tcW w:w="9356" w:type="dxa"/>
          </w:tcPr>
          <w:p w14:paraId="7F6660A2" w14:textId="77777777" w:rsidR="005B1D30" w:rsidRPr="005A726E" w:rsidRDefault="005B1D30" w:rsidP="00CE236A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43CE5A77" w14:textId="6CF3508B" w:rsidR="004B4287" w:rsidRPr="00BA6274" w:rsidRDefault="00BA6274" w:rsidP="004B4287">
            <w:pPr>
              <w:pStyle w:val="aa"/>
              <w:snapToGrid w:val="0"/>
              <w:spacing w:line="312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教師皆具有教學及專業學術研究之能力，教師能將個人學術研究成果與教學相結合，授課科目皆與其個人專長與學術研究領域相符合，學生受益良多。師資之專長多元多樣化，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教師所開設課程，均符合系定教育目標。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除課程設計內容豐富且多元</w:t>
            </w:r>
            <w:r w:rsidR="005216B6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外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，亦與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週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邊研究單位進行教學和研究合作，使學生具有務實的訓練與技能，且能與產業和實務接軌。</w:t>
            </w:r>
          </w:p>
          <w:p w14:paraId="5E717047" w14:textId="54A54B28" w:rsidR="004B4287" w:rsidRPr="00BA6274" w:rsidRDefault="00BA6274" w:rsidP="004B4287">
            <w:pPr>
              <w:pStyle w:val="aa"/>
              <w:snapToGrid w:val="0"/>
              <w:spacing w:line="312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D1560C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鼓勵學生針對</w:t>
            </w:r>
            <w:r w:rsidR="00D1560C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選定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專題進行全面深入的研究，</w:t>
            </w:r>
            <w:r w:rsidR="00D1560C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依據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學生</w:t>
            </w:r>
            <w:r w:rsidR="00D1560C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之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特質，發展出以實務為主的校外專題實習，及以專題研究為主的校內專題研究與校外專題研究，這三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個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方向能讓學生有一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主題式的完整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學習，雖此課程的負擔很重，但學生都有很高的成就感。</w:t>
            </w:r>
          </w:p>
          <w:p w14:paraId="40ED46F5" w14:textId="472C26DA" w:rsidR="004B4287" w:rsidRPr="00BA6274" w:rsidRDefault="00BA6274" w:rsidP="004B4287">
            <w:pPr>
              <w:pStyle w:val="aa"/>
              <w:snapToGrid w:val="0"/>
              <w:spacing w:line="312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設有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班級導師、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曼陀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師及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職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涯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導師，此三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類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導師負責學生的生活、學習與職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涯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規劃。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曼陀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師輔導學生進行專業學程與選課輔導，此機制學生的反應很好，也對學生發揮了相當大的穩定學習功效。另該系一年級導師還需配合學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涯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中心擔任學習導師，負責輔導學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生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發覺自己的學習興趣與方向，此對剛進入大學的大一生是很重要的一項工作，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校此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種作法值得肯定。</w:t>
            </w:r>
          </w:p>
          <w:p w14:paraId="7F6660A8" w14:textId="10B9CA2F" w:rsidR="005B1D30" w:rsidRPr="00CE236A" w:rsidRDefault="00BA6274" w:rsidP="00D1560C">
            <w:pPr>
              <w:pStyle w:val="aa"/>
              <w:snapToGrid w:val="0"/>
              <w:spacing w:line="312" w:lineRule="auto"/>
              <w:ind w:leftChars="0" w:left="0" w:firstLineChars="200" w:firstLine="480"/>
              <w:jc w:val="both"/>
              <w:outlineLvl w:val="1"/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除了一般的期末回饋外，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亦於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學期中實施一分鐘教學回饋，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使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學生對教學有意見時，可立即反應，此對教學</w:t>
            </w:r>
            <w:r w:rsidR="002D7E8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與學習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改善很有助益。</w:t>
            </w:r>
          </w:p>
        </w:tc>
      </w:tr>
      <w:tr w:rsidR="005B1D30" w:rsidRPr="005A726E" w14:paraId="7F6660B3" w14:textId="77777777" w:rsidTr="00991BC1">
        <w:tc>
          <w:tcPr>
            <w:tcW w:w="9356" w:type="dxa"/>
          </w:tcPr>
          <w:p w14:paraId="7F6660AA" w14:textId="77777777" w:rsidR="005B1D30" w:rsidRPr="005A726E" w:rsidRDefault="005B1D30" w:rsidP="00991BC1">
            <w:pPr>
              <w:widowControl/>
              <w:spacing w:afterLines="50" w:after="180"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64F77FFC" w14:textId="0A2A2499" w:rsidR="002D7E8E" w:rsidRPr="00BA6274" w:rsidRDefault="00BA6274" w:rsidP="002D7E8E">
            <w:pPr>
              <w:pStyle w:val="aa"/>
              <w:numPr>
                <w:ilvl w:val="0"/>
                <w:numId w:val="11"/>
              </w:numPr>
              <w:spacing w:line="360" w:lineRule="auto"/>
              <w:ind w:leftChars="0"/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師資</w:t>
            </w:r>
            <w:r w:rsidR="002D7E8E" w:rsidRPr="00BA6274">
              <w:rPr>
                <w:rFonts w:ascii="Times New Roman" w:eastAsia="標楷體" w:hAnsi="Times New Roman" w:hint="eastAsia"/>
                <w:szCs w:val="26"/>
              </w:rPr>
              <w:t>質量俱佳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，己能充分滿足教學與輔導學生的需</w:t>
            </w:r>
            <w:r w:rsidR="002D7E8E" w:rsidRPr="00BA6274">
              <w:rPr>
                <w:rFonts w:ascii="Times New Roman" w:eastAsia="標楷體" w:hAnsi="Times New Roman" w:hint="eastAsia"/>
                <w:szCs w:val="26"/>
              </w:rPr>
              <w:t>求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，</w:t>
            </w:r>
            <w:proofErr w:type="gramStart"/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目前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提供的</w:t>
            </w:r>
            <w:r w:rsidR="002D7E8E" w:rsidRPr="00BA6274">
              <w:rPr>
                <w:rFonts w:ascii="Times New Roman" w:eastAsia="標楷體" w:hAnsi="Times New Roman" w:hint="eastAsia"/>
                <w:szCs w:val="26"/>
              </w:rPr>
              <w:t>行政及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技術人力稍嫌不足，雖有研究生與專題學生</w:t>
            </w:r>
            <w:r w:rsidR="002D7E8E" w:rsidRPr="00BA6274">
              <w:rPr>
                <w:rFonts w:ascii="Times New Roman" w:eastAsia="標楷體" w:hAnsi="Times New Roman" w:hint="eastAsia"/>
                <w:szCs w:val="26"/>
              </w:rPr>
              <w:t>支援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，</w:t>
            </w:r>
            <w:r w:rsidR="002D7E8E" w:rsidRPr="00BA6274">
              <w:rPr>
                <w:rFonts w:ascii="Times New Roman" w:eastAsia="標楷體" w:hAnsi="Times New Roman" w:hint="eastAsia"/>
                <w:szCs w:val="26"/>
              </w:rPr>
              <w:t>仍有改善空間。</w:t>
            </w:r>
            <w:r w:rsidR="00E16B44" w:rsidRPr="00BA6274">
              <w:rPr>
                <w:rFonts w:ascii="Times New Roman" w:eastAsia="標楷體" w:hAnsi="Times New Roman" w:hint="eastAsia"/>
                <w:szCs w:val="26"/>
              </w:rPr>
              <w:t>建議增聘相關人員。</w:t>
            </w:r>
          </w:p>
          <w:p w14:paraId="7F6660B2" w14:textId="3656FDB0" w:rsidR="005B1D30" w:rsidRPr="00CE236A" w:rsidRDefault="00BA6274" w:rsidP="00E16B44">
            <w:pPr>
              <w:pStyle w:val="aa"/>
              <w:numPr>
                <w:ilvl w:val="0"/>
                <w:numId w:val="11"/>
              </w:numPr>
              <w:spacing w:line="360" w:lineRule="auto"/>
              <w:ind w:leftChars="0"/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E16B44" w:rsidRPr="00BA6274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每年</w:t>
            </w:r>
            <w:r w:rsidR="00E16B44" w:rsidRPr="00BA6274">
              <w:rPr>
                <w:rFonts w:ascii="Times New Roman" w:eastAsia="標楷體" w:hAnsi="Times New Roman" w:hint="eastAsia"/>
                <w:szCs w:val="26"/>
              </w:rPr>
              <w:t>進行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二門創新課程，此有助教學內容的改善，惟</w:t>
            </w:r>
            <w:r w:rsidR="00E16B44" w:rsidRPr="00BA6274">
              <w:rPr>
                <w:rFonts w:ascii="Times New Roman" w:eastAsia="標楷體" w:hAnsi="Times New Roman" w:hint="eastAsia"/>
                <w:szCs w:val="26"/>
              </w:rPr>
              <w:t>規劃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內容</w:t>
            </w:r>
            <w:r w:rsidR="00E16B44" w:rsidRPr="00BA6274">
              <w:rPr>
                <w:rFonts w:ascii="Times New Roman" w:eastAsia="標楷體" w:hAnsi="Times New Roman" w:hint="eastAsia"/>
                <w:szCs w:val="26"/>
              </w:rPr>
              <w:t>應設定主題並考慮連貫性</w:t>
            </w:r>
            <w:r w:rsidR="00CE236A" w:rsidRPr="00BA6274">
              <w:rPr>
                <w:rFonts w:ascii="Times New Roman" w:eastAsia="標楷體" w:hAnsi="Times New Roman" w:hint="eastAsia"/>
                <w:szCs w:val="26"/>
              </w:rPr>
              <w:t>，以突顯成果，同時也有較明確的目標。</w:t>
            </w:r>
          </w:p>
        </w:tc>
      </w:tr>
    </w:tbl>
    <w:p w14:paraId="7F6660B4" w14:textId="77777777" w:rsidR="005B1D30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  <w:sectPr w:rsidR="005B1D30" w:rsidSect="00626779">
          <w:pgSz w:w="11906" w:h="16838"/>
          <w:pgMar w:top="1440" w:right="851" w:bottom="1440" w:left="1474" w:header="851" w:footer="992" w:gutter="0"/>
          <w:cols w:space="720"/>
          <w:docGrid w:type="lines" w:linePitch="360"/>
        </w:sectPr>
      </w:pPr>
    </w:p>
    <w:p w14:paraId="7F6660B5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項目四：學生學習與資源(含營造境教環境)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BD" w14:textId="77777777" w:rsidTr="00991BC1">
        <w:tc>
          <w:tcPr>
            <w:tcW w:w="9356" w:type="dxa"/>
          </w:tcPr>
          <w:p w14:paraId="7F6660B6" w14:textId="77777777" w:rsidR="005B1D30" w:rsidRPr="005A726E" w:rsidRDefault="005B1D30" w:rsidP="00CE236A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109D8F44" w14:textId="54C1DDCB" w:rsidR="004B4287" w:rsidRPr="00BA6274" w:rsidRDefault="00BA6274" w:rsidP="004B4287">
            <w:pPr>
              <w:pStyle w:val="aa"/>
              <w:snapToGrid w:val="0"/>
              <w:spacing w:line="264" w:lineRule="auto"/>
              <w:ind w:leftChars="0" w:left="0" w:firstLineChars="200" w:firstLine="440"/>
              <w:jc w:val="both"/>
              <w:outlineLvl w:val="1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 w:val="22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針對生物科技全球化發展之趨勢，致力於培養具有專業能力的學生。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在師資陣容、教學資源與所配置的儀器設備，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均能滿足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開設課程的需要。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在協助學生學習方面，結合多元化導師制</w:t>
            </w:r>
            <w:r w:rsidR="00F92909" w:rsidRPr="00BA6274">
              <w:rPr>
                <w:rFonts w:ascii="Times New Roman" w:eastAsia="標楷體" w:hAnsi="Times New Roman" w:cs="Times New Roman" w:hint="eastAsia"/>
                <w:bCs/>
              </w:rPr>
              <w:t>以輔導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學生並協助解決問題，透過辦理課外學習活動增強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學生間及對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系的向心力，並促進學生組織的成熟發展</w:t>
            </w:r>
            <w:r w:rsidR="00F92909" w:rsidRPr="00BA6274">
              <w:rPr>
                <w:rFonts w:ascii="Times New Roman" w:eastAsia="標楷體" w:hAnsi="Times New Roman" w:cs="Times New Roman" w:hint="eastAsia"/>
                <w:bCs/>
              </w:rPr>
              <w:t>。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國際化發展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為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努力的目標，除提供學生國際性學習活動的資訊外，積極鼓勵學生參與國際性的活動。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配合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設立宗旨，為國家生物科技發展培育人才，專題研究及校外實習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為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專業學習之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ㄧ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大特色。</w:t>
            </w:r>
          </w:p>
          <w:p w14:paraId="078DEF29" w14:textId="3E2E321E" w:rsidR="004B4287" w:rsidRPr="00BA6274" w:rsidRDefault="00BA6274" w:rsidP="004B4287">
            <w:pPr>
              <w:pStyle w:val="aa"/>
              <w:snapToGrid w:val="0"/>
              <w:spacing w:line="264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校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學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涯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中心</w:t>
            </w:r>
            <w:r w:rsidR="00E16B44" w:rsidRPr="00BA6274">
              <w:rPr>
                <w:rFonts w:ascii="Times New Roman" w:eastAsia="標楷體" w:hAnsi="Times New Roman" w:cs="Times New Roman" w:hint="eastAsia"/>
                <w:bCs/>
              </w:rPr>
              <w:t>致力於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學生學習性向與動機評量</w:t>
            </w:r>
            <w:r w:rsidR="00E16B44" w:rsidRPr="00BA6274">
              <w:rPr>
                <w:rFonts w:ascii="Times New Roman" w:eastAsia="標楷體" w:hAnsi="Times New Roman" w:cs="Times New Roman" w:hint="eastAsia"/>
                <w:bCs/>
              </w:rPr>
              <w:t>及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分析研究，此不只是針對全校，同時也對各系進行分析，這些研究結果對系的教學改進與發展也發揮積極正向的效果，如成立讀書會</w:t>
            </w:r>
            <w:r w:rsidR="00E16B44" w:rsidRPr="00BA6274">
              <w:rPr>
                <w:rFonts w:ascii="Times New Roman" w:eastAsia="標楷體" w:hAnsi="Times New Roman" w:cs="Times New Roman" w:hint="eastAsia"/>
                <w:bCs/>
              </w:rPr>
              <w:t>以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激發求知與學習動機。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也配合學</w:t>
            </w:r>
            <w:proofErr w:type="gramStart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涯</w:t>
            </w:r>
            <w:proofErr w:type="gramEnd"/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中心改進教學模式，學生對反轉教學很有興趣與好感，普遍認為透過團隊合作、互動與相互激盪的方式，不</w:t>
            </w:r>
            <w:r w:rsidR="00E16B44" w:rsidRPr="00BA6274">
              <w:rPr>
                <w:rFonts w:ascii="Times New Roman" w:eastAsia="標楷體" w:hAnsi="Times New Roman" w:cs="Times New Roman" w:hint="eastAsia"/>
                <w:bCs/>
              </w:rPr>
              <w:t>僅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可提高學生的學習意願，也普遍反應學習效果</w:t>
            </w:r>
            <w:r w:rsidR="00E16B44" w:rsidRPr="00BA6274">
              <w:rPr>
                <w:rFonts w:ascii="Times New Roman" w:eastAsia="標楷體" w:hAnsi="Times New Roman" w:cs="Times New Roman" w:hint="eastAsia"/>
                <w:bCs/>
              </w:rPr>
              <w:t>良</w:t>
            </w:r>
            <w:r w:rsidR="004B4287" w:rsidRPr="00BA6274">
              <w:rPr>
                <w:rFonts w:ascii="Times New Roman" w:eastAsia="標楷體" w:hAnsi="Times New Roman" w:cs="Times New Roman" w:hint="eastAsia"/>
                <w:bCs/>
              </w:rPr>
              <w:t>好。</w:t>
            </w:r>
          </w:p>
          <w:p w14:paraId="7F6660BC" w14:textId="47C72C68" w:rsidR="005B1D30" w:rsidRPr="00EE0AA6" w:rsidRDefault="004B4287" w:rsidP="00EE0AA6">
            <w:pPr>
              <w:pStyle w:val="aa"/>
              <w:snapToGrid w:val="0"/>
              <w:spacing w:line="264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BA6274">
              <w:rPr>
                <w:rFonts w:ascii="Times New Roman" w:eastAsia="標楷體" w:hAnsi="Times New Roman" w:cs="Times New Roman" w:hint="eastAsia"/>
                <w:bCs/>
              </w:rPr>
              <w:t>為強化學生的國際觀與國際交流能力，除全力輔導與強化學生的英文能力，持續</w:t>
            </w:r>
            <w:proofErr w:type="gramStart"/>
            <w:r w:rsidRPr="00BA6274">
              <w:rPr>
                <w:rFonts w:ascii="Times New Roman" w:eastAsia="標楷體" w:hAnsi="Times New Roman" w:cs="Times New Roman" w:hint="eastAsia"/>
                <w:bCs/>
              </w:rPr>
              <w:t>推動</w:t>
            </w:r>
            <w:r w:rsidR="00EE0AA6" w:rsidRPr="00BA6274">
              <w:rPr>
                <w:rFonts w:ascii="Times New Roman" w:eastAsia="標楷體" w:hAnsi="Times New Roman" w:cs="Times New Roman" w:hint="eastAsia"/>
                <w:bCs/>
              </w:rPr>
              <w:t>貴</w:t>
            </w:r>
            <w:r w:rsidRPr="00BA6274">
              <w:rPr>
                <w:rFonts w:ascii="Times New Roman" w:eastAsia="標楷體" w:hAnsi="Times New Roman" w:cs="Times New Roman" w:hint="eastAsia"/>
                <w:bCs/>
              </w:rPr>
              <w:t>系的</w:t>
            </w:r>
            <w:proofErr w:type="gramEnd"/>
            <w:r w:rsidRPr="00BA6274">
              <w:rPr>
                <w:rFonts w:ascii="Times New Roman" w:eastAsia="標楷體" w:hAnsi="Times New Roman" w:cs="Times New Roman" w:hint="eastAsia"/>
                <w:bCs/>
              </w:rPr>
              <w:t>全英語課程，同時配合國際學院招收外籍生，開設全英語學程，鼓勵學生參加國際會議發表論文，及進行國際交流</w:t>
            </w:r>
            <w:r w:rsidR="00EE0AA6" w:rsidRPr="00BA6274">
              <w:rPr>
                <w:rFonts w:ascii="Times New Roman" w:eastAsia="標楷體" w:hAnsi="Times New Roman" w:cs="Times New Roman" w:hint="eastAsia"/>
                <w:bCs/>
              </w:rPr>
              <w:t>，</w:t>
            </w:r>
            <w:r w:rsidRPr="00BA6274">
              <w:rPr>
                <w:rFonts w:ascii="Times New Roman" w:eastAsia="標楷體" w:hAnsi="Times New Roman" w:cs="Times New Roman" w:hint="eastAsia"/>
                <w:bCs/>
              </w:rPr>
              <w:t>成</w:t>
            </w:r>
            <w:r w:rsidR="00EE0AA6" w:rsidRPr="00BA6274">
              <w:rPr>
                <w:rFonts w:ascii="Times New Roman" w:eastAsia="標楷體" w:hAnsi="Times New Roman" w:cs="Times New Roman" w:hint="eastAsia"/>
                <w:bCs/>
              </w:rPr>
              <w:t>效卓著</w:t>
            </w:r>
            <w:r w:rsidRPr="00BA6274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</w:tc>
      </w:tr>
      <w:tr w:rsidR="005B1D30" w:rsidRPr="005A726E" w14:paraId="7F6660C7" w14:textId="77777777" w:rsidTr="00991BC1">
        <w:tc>
          <w:tcPr>
            <w:tcW w:w="9356" w:type="dxa"/>
          </w:tcPr>
          <w:p w14:paraId="7F6660C3" w14:textId="181CC088" w:rsidR="005B1D30" w:rsidRPr="00CE236A" w:rsidRDefault="005B1D30" w:rsidP="00CE236A">
            <w:pPr>
              <w:widowControl/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1A09235A" w14:textId="2564A7AC" w:rsidR="004B4287" w:rsidRPr="00BA6274" w:rsidRDefault="00BA6274" w:rsidP="004B4287">
            <w:pPr>
              <w:pStyle w:val="aa"/>
              <w:numPr>
                <w:ilvl w:val="0"/>
                <w:numId w:val="19"/>
              </w:numPr>
              <w:spacing w:line="264" w:lineRule="auto"/>
              <w:ind w:leftChars="0" w:left="482" w:hangingChars="201" w:hanging="482"/>
              <w:rPr>
                <w:rFonts w:ascii="Times New Roman" w:eastAsia="標楷體" w:hAnsi="Times New Roman"/>
                <w:szCs w:val="2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系訂</w:t>
            </w:r>
            <w:proofErr w:type="gramEnd"/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有助教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(TA)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遴選、培訓與考評機制，此對教學品質的改善與維持非常重要，</w:t>
            </w:r>
            <w:proofErr w:type="gramStart"/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目前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之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TA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以研究生與高年級同學為主，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雖然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TA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非常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努力，但由於流動性高，經驗不容易累積，即使累積也會因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畢業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而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中斷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，如此</w:t>
            </w:r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TA</w:t>
            </w:r>
            <w:proofErr w:type="gramStart"/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間的各項培訓即變的</w:t>
            </w:r>
            <w:proofErr w:type="gramEnd"/>
            <w:r w:rsidR="004B4287" w:rsidRPr="00BA6274">
              <w:rPr>
                <w:rFonts w:ascii="Times New Roman" w:eastAsia="標楷體" w:hAnsi="Times New Roman" w:hint="eastAsia"/>
                <w:szCs w:val="26"/>
              </w:rPr>
              <w:t>很重要，此部份工作務必落實。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建議設置專業技術人員協助實驗課程之進行。</w:t>
            </w:r>
          </w:p>
          <w:p w14:paraId="7F6660C6" w14:textId="790B8DCE" w:rsidR="005B1D30" w:rsidRPr="00CE236A" w:rsidRDefault="004B4287" w:rsidP="00C218AA">
            <w:pPr>
              <w:pStyle w:val="aa"/>
              <w:numPr>
                <w:ilvl w:val="0"/>
                <w:numId w:val="19"/>
              </w:numPr>
              <w:spacing w:line="264" w:lineRule="auto"/>
              <w:ind w:leftChars="0" w:left="482" w:hangingChars="201" w:hanging="482"/>
            </w:pPr>
            <w:r w:rsidRPr="00BA6274">
              <w:rPr>
                <w:rFonts w:ascii="Times New Roman" w:eastAsia="標楷體" w:hAnsi="Times New Roman" w:hint="eastAsia"/>
                <w:szCs w:val="26"/>
              </w:rPr>
              <w:t>如何吸引與留住優秀學生來校就讀，一直</w:t>
            </w:r>
            <w:proofErr w:type="gramStart"/>
            <w:r w:rsidRPr="00BA6274">
              <w:rPr>
                <w:rFonts w:ascii="Times New Roman" w:eastAsia="標楷體" w:hAnsi="Times New Roman" w:hint="eastAsia"/>
                <w:szCs w:val="26"/>
              </w:rPr>
              <w:t>是</w:t>
            </w:r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hint="eastAsia"/>
                <w:szCs w:val="26"/>
              </w:rPr>
              <w:t>招生的重點，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實施</w:t>
            </w:r>
            <w:r w:rsidRPr="00BA6274">
              <w:rPr>
                <w:rFonts w:ascii="Times New Roman" w:eastAsia="標楷體" w:hAnsi="Times New Roman" w:hint="eastAsia"/>
                <w:szCs w:val="26"/>
              </w:rPr>
              <w:t>五年一貫政策確實有它的效果，</w:t>
            </w:r>
            <w:proofErr w:type="gramStart"/>
            <w:r w:rsidRPr="00BA6274">
              <w:rPr>
                <w:rFonts w:ascii="Times New Roman" w:eastAsia="標楷體" w:hAnsi="Times New Roman" w:hint="eastAsia"/>
                <w:szCs w:val="26"/>
              </w:rPr>
              <w:t>因此</w:t>
            </w:r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EE0AA6" w:rsidRPr="00BA6274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hint="eastAsia"/>
                <w:szCs w:val="26"/>
              </w:rPr>
              <w:t>以</w:t>
            </w:r>
            <w:r w:rsidR="00482B78" w:rsidRPr="00BA6274">
              <w:rPr>
                <w:rFonts w:ascii="Times New Roman" w:eastAsia="標楷體" w:hAnsi="Times New Roman" w:hint="eastAsia"/>
                <w:szCs w:val="26"/>
              </w:rPr>
              <w:t>五年一貫</w:t>
            </w:r>
            <w:r w:rsidRPr="00BA6274">
              <w:rPr>
                <w:rFonts w:ascii="Times New Roman" w:eastAsia="標楷體" w:hAnsi="Times New Roman" w:hint="eastAsia"/>
                <w:szCs w:val="26"/>
              </w:rPr>
              <w:t>與</w:t>
            </w:r>
            <w:r w:rsidR="00482B78" w:rsidRPr="00BA6274">
              <w:rPr>
                <w:rFonts w:ascii="Times New Roman" w:eastAsia="標楷體" w:hAnsi="Times New Roman" w:hint="eastAsia"/>
                <w:szCs w:val="26"/>
              </w:rPr>
              <w:t>提供</w:t>
            </w:r>
            <w:r w:rsidRPr="00BA6274">
              <w:rPr>
                <w:rFonts w:ascii="Times New Roman" w:eastAsia="標楷體" w:hAnsi="Times New Roman" w:hint="eastAsia"/>
                <w:szCs w:val="26"/>
              </w:rPr>
              <w:t>奬學金</w:t>
            </w:r>
            <w:r w:rsidR="00482B78" w:rsidRPr="00BA6274">
              <w:rPr>
                <w:rFonts w:ascii="Times New Roman" w:eastAsia="標楷體" w:hAnsi="Times New Roman" w:hint="eastAsia"/>
                <w:szCs w:val="26"/>
              </w:rPr>
              <w:t>之機制，</w:t>
            </w:r>
            <w:r w:rsidRPr="00BA6274">
              <w:rPr>
                <w:rFonts w:ascii="Times New Roman" w:eastAsia="標楷體" w:hAnsi="Times New Roman" w:hint="eastAsia"/>
                <w:szCs w:val="26"/>
              </w:rPr>
              <w:t>留住優秀學生，是一可行的方式，</w:t>
            </w:r>
            <w:r w:rsidR="00482B78" w:rsidRPr="00BA6274">
              <w:rPr>
                <w:rFonts w:ascii="Times New Roman" w:eastAsia="標楷體" w:hAnsi="Times New Roman" w:hint="eastAsia"/>
                <w:szCs w:val="26"/>
              </w:rPr>
              <w:t>應加強此政策宣導，</w:t>
            </w:r>
            <w:r w:rsidR="00AA74E8" w:rsidRPr="00BA6274">
              <w:rPr>
                <w:rFonts w:ascii="Times New Roman" w:eastAsia="標楷體" w:hAnsi="Times New Roman" w:hint="eastAsia"/>
                <w:szCs w:val="26"/>
              </w:rPr>
              <w:t>以鼓勵</w:t>
            </w:r>
            <w:r w:rsidRPr="00BA6274">
              <w:rPr>
                <w:rFonts w:ascii="Times New Roman" w:eastAsia="標楷體" w:hAnsi="Times New Roman" w:hint="eastAsia"/>
                <w:szCs w:val="26"/>
              </w:rPr>
              <w:t>符合資格且有意願的學生</w:t>
            </w:r>
            <w:r w:rsidR="00AA74E8" w:rsidRPr="00BA6274">
              <w:rPr>
                <w:rFonts w:ascii="Times New Roman" w:eastAsia="標楷體" w:hAnsi="Times New Roman" w:hint="eastAsia"/>
                <w:szCs w:val="26"/>
              </w:rPr>
              <w:t>積極參與</w:t>
            </w:r>
            <w:r w:rsidRPr="00BA6274">
              <w:rPr>
                <w:rFonts w:ascii="Times New Roman" w:eastAsia="標楷體" w:hAnsi="Times New Roman" w:hint="eastAsia"/>
                <w:szCs w:val="26"/>
              </w:rPr>
              <w:t>。</w:t>
            </w:r>
          </w:p>
        </w:tc>
      </w:tr>
    </w:tbl>
    <w:p w14:paraId="7F6660C8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  <w:sectPr w:rsidR="005B1D30" w:rsidRPr="005A726E" w:rsidSect="00626779">
          <w:pgSz w:w="11906" w:h="16838"/>
          <w:pgMar w:top="1440" w:right="851" w:bottom="1440" w:left="1474" w:header="851" w:footer="992" w:gutter="0"/>
          <w:cols w:space="720"/>
          <w:docGrid w:type="lines" w:linePitch="360"/>
        </w:sectPr>
      </w:pPr>
    </w:p>
    <w:p w14:paraId="7F6660C9" w14:textId="77777777" w:rsidR="005B1D30" w:rsidRPr="005A726E" w:rsidRDefault="005B1D30" w:rsidP="005B1D30">
      <w:pPr>
        <w:widowControl/>
        <w:rPr>
          <w:rFonts w:ascii="標楷體" w:eastAsia="標楷體" w:hAnsi="標楷體"/>
          <w:b/>
          <w:sz w:val="32"/>
          <w:szCs w:val="32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項目五：學生學習成效與學用合一</w:t>
      </w:r>
      <w:r w:rsidRPr="005A726E">
        <w:rPr>
          <w:rFonts w:ascii="標楷體" w:eastAsia="標楷體" w:hAnsi="標楷體" w:hint="eastAsia"/>
          <w:b/>
          <w:sz w:val="32"/>
          <w:szCs w:val="32"/>
        </w:rPr>
        <w:t>(含畢業生生涯發展與表現)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D1" w14:textId="77777777" w:rsidTr="00991BC1">
        <w:tc>
          <w:tcPr>
            <w:tcW w:w="9356" w:type="dxa"/>
          </w:tcPr>
          <w:p w14:paraId="7F6660CA" w14:textId="77777777" w:rsidR="005B1D30" w:rsidRPr="005A726E" w:rsidRDefault="005B1D30" w:rsidP="00991BC1">
            <w:pPr>
              <w:widowControl/>
              <w:spacing w:afterLines="50" w:after="180"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44394C6F" w14:textId="3BBBA09B" w:rsidR="00396B12" w:rsidRPr="00BA6274" w:rsidRDefault="00BA6274" w:rsidP="004B4287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已建立有</w:t>
            </w:r>
            <w:proofErr w:type="gramStart"/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遴</w:t>
            </w:r>
            <w:proofErr w:type="gramEnd"/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聘業界專家協同教學授課機制，以增進學生對相關產業之了解並提早規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劃</w:t>
            </w:r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就業方向。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藉由書面資料了解</w:t>
            </w:r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多數不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繼續進修之</w:t>
            </w:r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學生在實習與專題學習過程中，能知道自己的方向；尤其有職</w:t>
            </w:r>
            <w:proofErr w:type="gramStart"/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涯</w:t>
            </w:r>
            <w:proofErr w:type="gramEnd"/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輔導更讓學生知道如何選擇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未來之生涯規劃</w:t>
            </w:r>
            <w:r w:rsidR="00396B12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14:paraId="65360C9F" w14:textId="4A7E2489" w:rsidR="00396B12" w:rsidRPr="00BA6274" w:rsidRDefault="00396B12" w:rsidP="004B4287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另外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針對繼續進修之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大學部或碩士生，</w:t>
            </w:r>
            <w:r w:rsidR="0011594E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透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過教師輔導，學生繼續升學之比例有逐年上升之趨勢，其中不乏有考上國立頂尖</w:t>
            </w:r>
            <w:proofErr w:type="gramStart"/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大學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之碩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博士</w:t>
            </w:r>
            <w:proofErr w:type="gramEnd"/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班者，成效顯著。</w:t>
            </w:r>
          </w:p>
          <w:p w14:paraId="7F6660D0" w14:textId="14235184" w:rsidR="005B1D30" w:rsidRPr="0011594E" w:rsidRDefault="00396B12" w:rsidP="004B4287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學校經常舉辦業界研習活動，</w:t>
            </w:r>
            <w:proofErr w:type="gramStart"/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教師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多能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積極參與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，並結合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產學合作，同時帶領學生參與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相關之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專題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研究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  <w:proofErr w:type="gramStart"/>
            <w:r w:rsidR="00BA6274"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="00BA6274"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各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委員會均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定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期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召開並針對學生、業者或系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友之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建議提出檢討與</w:t>
            </w:r>
            <w:r w:rsidR="008E0FAA"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改進</w:t>
            </w:r>
            <w:r w:rsidRPr="00BA6274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</w:tc>
      </w:tr>
      <w:tr w:rsidR="005B1D30" w:rsidRPr="005A726E" w14:paraId="7F6660DB" w14:textId="77777777" w:rsidTr="00991BC1">
        <w:tc>
          <w:tcPr>
            <w:tcW w:w="9356" w:type="dxa"/>
          </w:tcPr>
          <w:p w14:paraId="7F6660D2" w14:textId="77777777" w:rsidR="005B1D30" w:rsidRPr="005A726E" w:rsidRDefault="005B1D30" w:rsidP="00991BC1">
            <w:pPr>
              <w:widowControl/>
              <w:spacing w:afterLines="50" w:after="180"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65D19F69" w14:textId="3A6E833A" w:rsidR="00396B12" w:rsidRPr="00BA6274" w:rsidRDefault="00396B12" w:rsidP="00761537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="標楷體" w:hAnsi="Times New Roman"/>
                <w:szCs w:val="24"/>
              </w:rPr>
            </w:pPr>
            <w:r w:rsidRPr="00BA6274">
              <w:rPr>
                <w:rFonts w:ascii="Times New Roman" w:eastAsia="標楷體" w:hAnsi="Times New Roman" w:hint="eastAsia"/>
                <w:szCs w:val="24"/>
              </w:rPr>
              <w:t>有關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未繼續進修之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學生，</w:t>
            </w:r>
            <w:proofErr w:type="gramStart"/>
            <w:r w:rsidRPr="00BA6274">
              <w:rPr>
                <w:rFonts w:ascii="Times New Roman" w:eastAsia="標楷體" w:hAnsi="Times New Roman" w:hint="eastAsia"/>
                <w:strike/>
                <w:color w:val="FF0000"/>
                <w:szCs w:val="24"/>
              </w:rPr>
              <w:t>應</w:t>
            </w:r>
            <w:r w:rsidR="00BA6274" w:rsidRPr="00BA6274">
              <w:rPr>
                <w:rFonts w:ascii="Times New Roman" w:eastAsia="標楷體" w:hAnsi="Times New Roman" w:hint="eastAsia"/>
                <w:color w:val="FF0000"/>
                <w:szCs w:val="24"/>
              </w:rPr>
              <w:t>宜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利用</w:t>
            </w:r>
            <w:proofErr w:type="gramEnd"/>
            <w:r w:rsidRPr="00BA6274">
              <w:rPr>
                <w:rFonts w:ascii="Times New Roman" w:eastAsia="標楷體" w:hAnsi="Times New Roman" w:hint="eastAsia"/>
                <w:szCs w:val="24"/>
              </w:rPr>
              <w:t>實習機會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擴大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產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業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界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建立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產學之學用合作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關係，以</w:t>
            </w:r>
            <w:r w:rsidR="008E0FAA" w:rsidRPr="00BA6274">
              <w:rPr>
                <w:rFonts w:ascii="Times New Roman" w:eastAsia="標楷體" w:hAnsi="Times New Roman" w:hint="eastAsia"/>
                <w:szCs w:val="24"/>
              </w:rPr>
              <w:t>提高學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生畢業即就業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之機會</w:t>
            </w:r>
            <w:r w:rsidRPr="00BA627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7F6660DA" w14:textId="76512560" w:rsidR="005B1D30" w:rsidRPr="00761537" w:rsidRDefault="00BA6274" w:rsidP="00CD1D51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系</w:t>
            </w:r>
            <w:proofErr w:type="gramEnd"/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具有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發展「食藥用菇類栽培與應用」及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水稻品種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功能性基因研究」之特色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，建議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積極與相關課程或實習結合，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成為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授課與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之平台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並延伸為實習工廠或實習商店，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將更能</w:t>
            </w:r>
            <w:proofErr w:type="gramStart"/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突顯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系</w:t>
            </w:r>
            <w:proofErr w:type="gramEnd"/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特色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並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造就學生未來</w:t>
            </w:r>
            <w:r w:rsidR="00396B12" w:rsidRPr="00BA6274">
              <w:rPr>
                <w:rFonts w:ascii="Times New Roman" w:eastAsia="標楷體" w:hAnsi="Times New Roman" w:hint="eastAsia"/>
                <w:strike/>
                <w:color w:val="FF0000"/>
                <w:szCs w:val="24"/>
              </w:rPr>
              <w:t>組</w:t>
            </w:r>
            <w:r w:rsidRPr="00BA6274">
              <w:rPr>
                <w:rFonts w:ascii="Times New Roman" w:eastAsia="標楷體" w:hAnsi="Times New Roman" w:hint="eastAsia"/>
                <w:color w:val="FF0000"/>
                <w:szCs w:val="24"/>
              </w:rPr>
              <w:t>結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合創業之</w:t>
            </w:r>
            <w:r w:rsidR="00CD1D51" w:rsidRPr="00BA6274">
              <w:rPr>
                <w:rFonts w:ascii="Times New Roman" w:eastAsia="標楷體" w:hAnsi="Times New Roman" w:hint="eastAsia"/>
                <w:szCs w:val="24"/>
              </w:rPr>
              <w:t>契機</w:t>
            </w:r>
            <w:r w:rsidR="00396B12" w:rsidRPr="00BA6274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7F6660DC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szCs w:val="24"/>
        </w:rPr>
      </w:pPr>
    </w:p>
    <w:p w14:paraId="7F6660DD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szCs w:val="24"/>
        </w:rPr>
      </w:pPr>
    </w:p>
    <w:p w14:paraId="7F6660DE" w14:textId="77777777" w:rsidR="005B1D30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  <w:sectPr w:rsidR="005B1D30" w:rsidSect="00626779">
          <w:pgSz w:w="11906" w:h="16838"/>
          <w:pgMar w:top="1440" w:right="851" w:bottom="1440" w:left="1474" w:header="851" w:footer="992" w:gutter="0"/>
          <w:cols w:space="720"/>
          <w:docGrid w:type="lines" w:linePitch="360"/>
        </w:sectPr>
      </w:pPr>
    </w:p>
    <w:p w14:paraId="7F6660DF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項目六：學術與專業表現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E7" w14:textId="77777777" w:rsidTr="00991BC1">
        <w:tc>
          <w:tcPr>
            <w:tcW w:w="9356" w:type="dxa"/>
          </w:tcPr>
          <w:p w14:paraId="7F6660E0" w14:textId="77777777" w:rsidR="005B1D30" w:rsidRPr="005A726E" w:rsidRDefault="005B1D30" w:rsidP="00991BC1">
            <w:pPr>
              <w:widowControl/>
              <w:spacing w:afterLines="50" w:after="180"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2DB40973" w14:textId="45E202DC" w:rsidR="00396B12" w:rsidRPr="002918C1" w:rsidRDefault="002918C1" w:rsidP="004B4287">
            <w:pPr>
              <w:pStyle w:val="aa"/>
              <w:snapToGrid w:val="0"/>
              <w:spacing w:line="360" w:lineRule="auto"/>
              <w:ind w:leftChars="0" w:left="0" w:firstLineChars="200" w:firstLine="440"/>
              <w:jc w:val="both"/>
              <w:outlineLvl w:val="1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2918C1">
              <w:rPr>
                <w:rFonts w:ascii="標楷體" w:eastAsia="標楷體" w:hAnsi="標楷體" w:hint="eastAsia"/>
                <w:strike/>
                <w:color w:val="FF0000"/>
                <w:sz w:val="22"/>
                <w:szCs w:val="24"/>
              </w:rPr>
              <w:t>貴</w:t>
            </w:r>
            <w:r w:rsidRPr="002918C1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該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校</w:t>
            </w:r>
            <w:proofErr w:type="gramEnd"/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設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有</w:t>
            </w:r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獎勵及考核機制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，以鼓勵教師從事研究，並轉化為學術論文</w:t>
            </w:r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、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專利或技術移轉。</w:t>
            </w: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三年內教師研究成果在國內外期刊論文</w:t>
            </w:r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之發表，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不論在數量或品質上，</w:t>
            </w:r>
            <w:r w:rsidR="00B954CF" w:rsidRPr="002918C1">
              <w:rPr>
                <w:rFonts w:ascii="Times New Roman" w:eastAsia="標楷體" w:hAnsi="Times New Roman" w:cs="Times New Roman" w:hint="eastAsia"/>
                <w:bCs/>
              </w:rPr>
              <w:t>都有傑出表現，並有</w:t>
            </w:r>
            <w:r w:rsidR="00180F24" w:rsidRPr="002918C1">
              <w:rPr>
                <w:rFonts w:ascii="Times New Roman" w:eastAsia="標楷體" w:hAnsi="Times New Roman" w:cs="Times New Roman" w:hint="eastAsia"/>
                <w:bCs/>
              </w:rPr>
              <w:t>擔任國內外審查制專業期刊和學報編審、及榮獲全國性或國際性學術榮譽獎</w:t>
            </w:r>
            <w:r w:rsidR="00B954CF" w:rsidRPr="002918C1">
              <w:rPr>
                <w:rFonts w:ascii="Times New Roman" w:eastAsia="標楷體" w:hAnsi="Times New Roman" w:cs="Times New Roman" w:hint="eastAsia"/>
                <w:bCs/>
              </w:rPr>
              <w:t>。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另外</w:t>
            </w:r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經由教師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指導學生在專題研究，論文寫作或論文發表，</w:t>
            </w:r>
            <w:r w:rsidR="00CF4B87" w:rsidRPr="002918C1">
              <w:rPr>
                <w:rFonts w:ascii="Times New Roman" w:eastAsia="標楷體" w:hAnsi="Times New Roman" w:cs="Times New Roman" w:hint="eastAsia"/>
                <w:bCs/>
              </w:rPr>
              <w:t>均逐年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成長。</w:t>
            </w:r>
            <w:r w:rsidR="00180F24" w:rsidRPr="002918C1">
              <w:rPr>
                <w:rFonts w:ascii="Times New Roman" w:eastAsia="標楷體" w:hAnsi="Times New Roman" w:cs="Times New Roman" w:hint="eastAsia"/>
                <w:bCs/>
              </w:rPr>
              <w:t>教師參與產學合作計畫，不論件數或金額</w:t>
            </w:r>
            <w:r w:rsidR="00F92909" w:rsidRPr="002918C1">
              <w:rPr>
                <w:rFonts w:ascii="Times New Roman" w:eastAsia="標楷體" w:hAnsi="Times New Roman" w:cs="Times New Roman" w:hint="eastAsia"/>
                <w:bCs/>
              </w:rPr>
              <w:t>均逐年提高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，顯示這幾年教師</w:t>
            </w:r>
            <w:r w:rsidR="00180F24" w:rsidRPr="002918C1">
              <w:rPr>
                <w:rFonts w:ascii="Times New Roman" w:eastAsia="標楷體" w:hAnsi="Times New Roman" w:cs="Times New Roman" w:hint="eastAsia"/>
                <w:bCs/>
              </w:rPr>
              <w:t>研究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成果已受到肯定。</w:t>
            </w:r>
          </w:p>
          <w:p w14:paraId="7F6660E6" w14:textId="7DC5C066" w:rsidR="00180F24" w:rsidRPr="00761537" w:rsidRDefault="002918C1" w:rsidP="00B954CF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180F24" w:rsidRPr="002918C1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180F24" w:rsidRPr="002918C1">
              <w:rPr>
                <w:rFonts w:ascii="Times New Roman" w:eastAsia="標楷體" w:hAnsi="Times New Roman" w:cs="Times New Roman" w:hint="eastAsia"/>
                <w:bCs/>
              </w:rPr>
              <w:t>要求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學生從事校內外實驗以學習研究方法和經驗，並透過</w:t>
            </w:r>
            <w:r w:rsidR="00180F24" w:rsidRPr="002918C1">
              <w:rPr>
                <w:rFonts w:ascii="Times New Roman" w:eastAsia="標楷體" w:hAnsi="Times New Roman" w:cs="Times New Roman" w:hint="eastAsia"/>
                <w:bCs/>
              </w:rPr>
              <w:t>課程</w:t>
            </w:r>
            <w:r w:rsidR="00396B12" w:rsidRPr="002918C1">
              <w:rPr>
                <w:rFonts w:ascii="Times New Roman" w:eastAsia="標楷體" w:hAnsi="Times New Roman" w:cs="Times New Roman" w:hint="eastAsia"/>
                <w:bCs/>
              </w:rPr>
              <w:t>「校內外專題研究」，跟隨指導教授，將成果編寫成學士論文，最後藉由口頭報告或作發表，以增強學生專業能力。</w:t>
            </w:r>
          </w:p>
        </w:tc>
      </w:tr>
      <w:tr w:rsidR="005B1D30" w:rsidRPr="005A726E" w14:paraId="7F6660F1" w14:textId="77777777" w:rsidTr="00991BC1">
        <w:tc>
          <w:tcPr>
            <w:tcW w:w="9356" w:type="dxa"/>
          </w:tcPr>
          <w:p w14:paraId="7F6660E8" w14:textId="77777777" w:rsidR="005B1D30" w:rsidRPr="005A726E" w:rsidRDefault="005B1D30" w:rsidP="00991BC1">
            <w:pPr>
              <w:widowControl/>
              <w:spacing w:afterLines="50" w:after="180"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7F6660F0" w14:textId="2F9F821E" w:rsidR="005B1D30" w:rsidRPr="00761537" w:rsidRDefault="002918C1" w:rsidP="00B954CF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End"/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之入學新生背景較為多元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，若有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學習不適應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之學生，系</w:t>
            </w:r>
            <w:proofErr w:type="gramStart"/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上</w:t>
            </w:r>
            <w:r w:rsidRPr="00C9075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應</w:t>
            </w:r>
            <w:r w:rsidRPr="00C90757">
              <w:rPr>
                <w:rFonts w:ascii="標楷體" w:eastAsia="標楷體" w:hAnsi="標楷體" w:hint="eastAsia"/>
                <w:color w:val="FF0000"/>
                <w:szCs w:val="24"/>
              </w:rPr>
              <w:t>宜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加強</w:t>
            </w:r>
            <w:proofErr w:type="gramEnd"/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輔導在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學習及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就業上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之專業訓練，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系</w:t>
            </w:r>
            <w:proofErr w:type="gramStart"/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上</w:t>
            </w:r>
            <w:r w:rsidRPr="00C90757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應</w:t>
            </w:r>
            <w:r w:rsidRPr="00C90757">
              <w:rPr>
                <w:rFonts w:ascii="標楷體" w:eastAsia="標楷體" w:hAnsi="標楷體" w:hint="eastAsia"/>
                <w:color w:val="FF0000"/>
                <w:szCs w:val="24"/>
              </w:rPr>
              <w:t>宜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強化</w:t>
            </w:r>
            <w:proofErr w:type="gramEnd"/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補救教學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，讓學生適性</w:t>
            </w:r>
            <w:proofErr w:type="gramStart"/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且往實作</w:t>
            </w:r>
            <w:proofErr w:type="gramEnd"/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方向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發展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，使其能得到較佳之</w:t>
            </w:r>
            <w:r w:rsidR="00B954CF" w:rsidRPr="002918C1">
              <w:rPr>
                <w:rFonts w:ascii="Times New Roman" w:eastAsia="標楷體" w:hAnsi="Times New Roman" w:hint="eastAsia"/>
                <w:szCs w:val="26"/>
              </w:rPr>
              <w:t>學習及</w:t>
            </w:r>
            <w:r w:rsidR="00396B12" w:rsidRPr="002918C1">
              <w:rPr>
                <w:rFonts w:ascii="Times New Roman" w:eastAsia="標楷體" w:hAnsi="Times New Roman" w:hint="eastAsia"/>
                <w:szCs w:val="26"/>
              </w:rPr>
              <w:t>就業機會。</w:t>
            </w:r>
          </w:p>
        </w:tc>
      </w:tr>
    </w:tbl>
    <w:p w14:paraId="7F6660F2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  <w:sectPr w:rsidR="005B1D30" w:rsidRPr="005A726E" w:rsidSect="00626779">
          <w:pgSz w:w="11906" w:h="16838"/>
          <w:pgMar w:top="1440" w:right="851" w:bottom="1440" w:left="1474" w:header="851" w:footer="992" w:gutter="0"/>
          <w:cols w:space="720"/>
          <w:docGrid w:type="lines" w:linePitch="360"/>
        </w:sectPr>
      </w:pPr>
    </w:p>
    <w:p w14:paraId="7F6660F3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color w:val="000000"/>
          <w:sz w:val="36"/>
          <w:szCs w:val="36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項目七：系所特殊專業表現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0FB" w14:textId="77777777" w:rsidTr="00991BC1">
        <w:tc>
          <w:tcPr>
            <w:tcW w:w="9356" w:type="dxa"/>
          </w:tcPr>
          <w:p w14:paraId="7F6660F4" w14:textId="77777777" w:rsidR="005B1D30" w:rsidRPr="005A726E" w:rsidRDefault="005B1D30" w:rsidP="0019477A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7990641D" w14:textId="25014FA7" w:rsidR="00074136" w:rsidRPr="002918C1" w:rsidRDefault="00A428C2" w:rsidP="00074136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之發展特色在於精緻農業之創新、教學、研究及產業行銷，包括：食藥用菇類栽培與應用及水稻研究中心之創立與施行，</w:t>
            </w:r>
            <w:proofErr w:type="gramStart"/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均為台灣</w:t>
            </w:r>
            <w:proofErr w:type="gramEnd"/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生技領域之翹楚，所研發之相關菇類之技術與產品及亞洲大學紫</w:t>
            </w:r>
            <w:proofErr w:type="gramStart"/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秈糯</w:t>
            </w:r>
            <w:proofErr w:type="gramEnd"/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水稻皆已成功授權或技轉，成績有目共睹。</w:t>
            </w:r>
          </w:p>
          <w:p w14:paraId="7F6660FA" w14:textId="0B82CAAA" w:rsidR="005B1D30" w:rsidRPr="005A726E" w:rsidRDefault="00A428C2" w:rsidP="00074136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系</w:t>
            </w:r>
            <w:proofErr w:type="gramEnd"/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特別重視學生專題研究，在學術專業表現及升學率皆良好的成果，另外又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整合生物科技、科技管理、生物醫學等領域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，設置具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特色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之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學程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，包括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「應用生物科技學程」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、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「生物醫學技術學程」、「生物產業經營管理學程」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，強化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理論與實際結合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的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特色教學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，未來又規劃設置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「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微生物檢測實驗室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」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與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「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生物科技管理策略研究中心</w:t>
            </w:r>
            <w:r w:rsidR="00074136" w:rsidRPr="002918C1">
              <w:rPr>
                <w:rFonts w:ascii="Times New Roman" w:eastAsia="標楷體" w:hAnsi="Times New Roman" w:cs="Times New Roman"/>
                <w:bCs/>
              </w:rPr>
              <w:t>」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，強化學生專業及就業能力。除此之外，將研發領域發展為產學聯盟，帶動研發與產業界之合作。積極培養研發及產業人才，以應未來市場需求，值得</w:t>
            </w:r>
            <w:r w:rsidR="001F5562" w:rsidRPr="002918C1">
              <w:rPr>
                <w:rFonts w:ascii="Times New Roman" w:eastAsia="標楷體" w:hAnsi="Times New Roman" w:cs="Times New Roman" w:hint="eastAsia"/>
                <w:bCs/>
              </w:rPr>
              <w:t>肯定</w:t>
            </w:r>
            <w:r w:rsidR="00074136" w:rsidRPr="002918C1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</w:tc>
      </w:tr>
      <w:tr w:rsidR="005B1D30" w:rsidRPr="005A726E" w14:paraId="7F666105" w14:textId="77777777" w:rsidTr="00991BC1">
        <w:tc>
          <w:tcPr>
            <w:tcW w:w="9356" w:type="dxa"/>
          </w:tcPr>
          <w:p w14:paraId="7F6660FC" w14:textId="77777777" w:rsidR="005B1D30" w:rsidRPr="005A726E" w:rsidRDefault="005B1D30" w:rsidP="0019477A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7F666104" w14:textId="6C43355C" w:rsidR="005B1D30" w:rsidRPr="00074136" w:rsidRDefault="00074136" w:rsidP="00074136">
            <w:pPr>
              <w:pStyle w:val="aa"/>
              <w:numPr>
                <w:ilvl w:val="0"/>
                <w:numId w:val="18"/>
              </w:numPr>
              <w:spacing w:line="360" w:lineRule="auto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918C1">
              <w:rPr>
                <w:rFonts w:ascii="Times New Roman" w:eastAsia="標楷體" w:hAnsi="Times New Roman" w:hint="eastAsia"/>
                <w:szCs w:val="28"/>
              </w:rPr>
              <w:t>為強化精緻農業之發展特色，並持續居於領</w:t>
            </w:r>
            <w:r w:rsidR="001F5562" w:rsidRPr="002918C1">
              <w:rPr>
                <w:rFonts w:ascii="Times New Roman" w:eastAsia="標楷體" w:hAnsi="Times New Roman" w:hint="eastAsia"/>
                <w:szCs w:val="28"/>
              </w:rPr>
              <w:t>先</w:t>
            </w:r>
            <w:r w:rsidRPr="002918C1">
              <w:rPr>
                <w:rFonts w:ascii="Times New Roman" w:eastAsia="標楷體" w:hAnsi="Times New Roman" w:hint="eastAsia"/>
                <w:szCs w:val="28"/>
              </w:rPr>
              <w:t>之地位，宜在產品開發與</w:t>
            </w:r>
            <w:proofErr w:type="gramStart"/>
            <w:r w:rsidRPr="002918C1">
              <w:rPr>
                <w:rFonts w:ascii="Times New Roman" w:eastAsia="標楷體" w:hAnsi="Times New Roman" w:hint="eastAsia"/>
                <w:szCs w:val="28"/>
              </w:rPr>
              <w:t>功能性成分之</w:t>
            </w:r>
            <w:proofErr w:type="gramEnd"/>
            <w:r w:rsidRPr="002918C1">
              <w:rPr>
                <w:rFonts w:ascii="Times New Roman" w:eastAsia="標楷體" w:hAnsi="Times New Roman" w:hint="eastAsia"/>
                <w:szCs w:val="28"/>
              </w:rPr>
              <w:t>效用上積極研究，並建構有效成分分析與成效驗證實驗室，導入動物試驗相關設備，以鏈結原有的細胞實驗藥效之成果。</w:t>
            </w:r>
          </w:p>
        </w:tc>
      </w:tr>
    </w:tbl>
    <w:p w14:paraId="7F666106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szCs w:val="24"/>
        </w:rPr>
      </w:pPr>
    </w:p>
    <w:p w14:paraId="7F666107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szCs w:val="24"/>
        </w:rPr>
      </w:pPr>
    </w:p>
    <w:p w14:paraId="7F666108" w14:textId="77777777" w:rsidR="005B1D30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  <w:sectPr w:rsidR="005B1D3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F666109" w14:textId="77777777" w:rsidR="005B1D30" w:rsidRPr="005A726E" w:rsidRDefault="005B1D30" w:rsidP="005B1D30">
      <w:pPr>
        <w:widowControl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5A726E">
        <w:rPr>
          <w:rFonts w:ascii="標楷體" w:eastAsia="標楷體" w:hAnsi="標楷體" w:hint="eastAsia"/>
          <w:b/>
          <w:sz w:val="36"/>
          <w:szCs w:val="36"/>
        </w:rPr>
        <w:t>項目八：自我評鑑與改善機制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D30" w:rsidRPr="005A726E" w14:paraId="7F666111" w14:textId="77777777" w:rsidTr="00991BC1">
        <w:tc>
          <w:tcPr>
            <w:tcW w:w="9356" w:type="dxa"/>
          </w:tcPr>
          <w:p w14:paraId="7F66610A" w14:textId="77777777" w:rsidR="005B1D30" w:rsidRPr="005A726E" w:rsidRDefault="005B1D30" w:rsidP="0019477A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  <w:shd w:val="pct15" w:color="auto" w:fill="FFFFFF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特色與優點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段落式</w:t>
            </w:r>
          </w:p>
          <w:p w14:paraId="455F54CD" w14:textId="70D98973" w:rsidR="00074136" w:rsidRPr="00A428C2" w:rsidRDefault="00A428C2" w:rsidP="00074136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A428C2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A428C2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系經</w:t>
            </w:r>
            <w:proofErr w:type="gramEnd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週期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之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系所評鑑，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已</w:t>
            </w:r>
            <w:proofErr w:type="gramStart"/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研</w:t>
            </w:r>
            <w:proofErr w:type="gramEnd"/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擬一套完善之行政管理機制，以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PDCA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Plan-Do-Check-Action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) 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有系統地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進行改善，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如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意見回饋改善機制，以自我為核心進行自我診斷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與效率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提升，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使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行政管理機制及學系整體發展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更加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完善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，效果顯著。另外，配合校院發展規劃，兼顧「教學、研究、服務」三方面之品質，已建立「持續改善機制」來提升教學品保，達成教育目標。尤其在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培養學生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的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良好學習態度與專業知識，能徹底落實校、院、系所訂定之基本素養與核心能力，使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該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發展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方向更符合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產業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發展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之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需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求</w:t>
            </w:r>
            <w:r w:rsidR="00074136" w:rsidRPr="00A428C2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14:paraId="7F666110" w14:textId="35F72B4E" w:rsidR="005B1D30" w:rsidRPr="005A726E" w:rsidRDefault="00A428C2" w:rsidP="001F5562">
            <w:pPr>
              <w:pStyle w:val="aa"/>
              <w:snapToGrid w:val="0"/>
              <w:spacing w:line="360" w:lineRule="auto"/>
              <w:ind w:leftChars="0" w:left="0" w:firstLineChars="200" w:firstLine="480"/>
              <w:jc w:val="both"/>
              <w:outlineLvl w:val="1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系</w:t>
            </w:r>
            <w:proofErr w:type="gramEnd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隨時依據生物科技產業之環境變化與人才需求，設定發展目標，結合實務實作的課程，發展適性教學，適才發展的創新教學及輔導，並建置教師評鑑及成長機制，重視學生職</w:t>
            </w:r>
            <w:proofErr w:type="gramStart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涯規</w:t>
            </w:r>
            <w:proofErr w:type="gramEnd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畫，蒐集追蹤在校生學習策略問卷、職</w:t>
            </w:r>
            <w:proofErr w:type="gramStart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涯</w:t>
            </w:r>
            <w:proofErr w:type="gramEnd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性向問卷及畢業生學習回顧問卷，擬訂系</w:t>
            </w:r>
            <w:proofErr w:type="gramStart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務</w:t>
            </w:r>
            <w:proofErr w:type="gramEnd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發展計畫，並依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PD</w:t>
            </w:r>
            <w:r w:rsidR="001F5562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C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proofErr w:type="gramStart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迴</w:t>
            </w:r>
            <w:proofErr w:type="gramEnd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圈進行考核與改善作為。例如</w:t>
            </w:r>
            <w:r w:rsidRPr="00BA6274">
              <w:rPr>
                <w:rFonts w:ascii="標楷體" w:eastAsia="標楷體" w:hAnsi="標楷體" w:hint="eastAsia"/>
                <w:strike/>
                <w:color w:val="FF0000"/>
                <w:szCs w:val="24"/>
              </w:rPr>
              <w:t>貴</w:t>
            </w:r>
            <w:r w:rsidRPr="00BA6274">
              <w:rPr>
                <w:rFonts w:ascii="標楷體" w:eastAsia="標楷體" w:hAnsi="標楷體" w:hint="eastAsia"/>
                <w:color w:val="FF0000"/>
                <w:szCs w:val="24"/>
              </w:rPr>
              <w:t>該</w:t>
            </w:r>
            <w:bookmarkStart w:id="18" w:name="_GoBack"/>
            <w:bookmarkEnd w:id="18"/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系於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103</w:t>
            </w:r>
            <w:r w:rsidR="00074136"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學年擬增設「生技產業經營管理學程」，以縮減學生之學用落差，並強化學生畢業後於生技產業之就業競爭力，即是最好的展現。</w:t>
            </w:r>
          </w:p>
        </w:tc>
      </w:tr>
      <w:tr w:rsidR="005B1D30" w:rsidRPr="005A726E" w14:paraId="7F66611B" w14:textId="77777777" w:rsidTr="00991BC1">
        <w:tc>
          <w:tcPr>
            <w:tcW w:w="9356" w:type="dxa"/>
          </w:tcPr>
          <w:p w14:paraId="7F666112" w14:textId="77777777" w:rsidR="005B1D30" w:rsidRPr="005A726E" w:rsidRDefault="005B1D30" w:rsidP="0019477A">
            <w:pPr>
              <w:widowControl/>
              <w:spacing w:line="276" w:lineRule="auto"/>
              <w:rPr>
                <w:rFonts w:ascii="標楷體" w:eastAsia="標楷體" w:hAnsi="標楷體"/>
                <w:szCs w:val="24"/>
                <w:bdr w:val="single" w:sz="4" w:space="0" w:color="auto" w:frame="1"/>
              </w:rPr>
            </w:pPr>
            <w:r w:rsidRPr="005A726E">
              <w:rPr>
                <w:rFonts w:ascii="標楷體" w:eastAsia="標楷體" w:hAnsi="標楷體" w:hint="eastAsia"/>
                <w:b/>
                <w:sz w:val="32"/>
                <w:szCs w:val="32"/>
              </w:rPr>
              <w:t>建議事項</w:t>
            </w:r>
            <w:r w:rsidRPr="005A726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5A726E">
              <w:rPr>
                <w:rFonts w:ascii="標楷體" w:eastAsia="標楷體" w:hAnsi="標楷體" w:hint="eastAsia"/>
                <w:szCs w:val="24"/>
                <w:bdr w:val="single" w:sz="4" w:space="0" w:color="auto" w:frame="1"/>
              </w:rPr>
              <w:t>條列式</w:t>
            </w:r>
          </w:p>
          <w:p w14:paraId="7F66611A" w14:textId="44572D34" w:rsidR="005B1D30" w:rsidRPr="00A428C2" w:rsidRDefault="001F5562" w:rsidP="00835598">
            <w:pPr>
              <w:pStyle w:val="aa"/>
              <w:widowControl/>
              <w:numPr>
                <w:ilvl w:val="0"/>
                <w:numId w:val="20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宜透過自我檢視機制，明確訂定階段性目標，確實依據</w:t>
            </w:r>
            <w:r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PDCA</w:t>
            </w:r>
            <w:r w:rsidRPr="00A428C2">
              <w:rPr>
                <w:rFonts w:ascii="Times New Roman" w:eastAsia="標楷體" w:hAnsi="Times New Roman" w:cs="Times New Roman" w:hint="eastAsia"/>
                <w:bCs/>
                <w:szCs w:val="24"/>
              </w:rPr>
              <w:t>模式落實自我改善之成效。</w:t>
            </w:r>
          </w:p>
        </w:tc>
      </w:tr>
    </w:tbl>
    <w:p w14:paraId="7F66611D" w14:textId="77777777" w:rsidR="00863784" w:rsidRDefault="00863784" w:rsidP="005B1D30">
      <w:pPr>
        <w:widowControl/>
      </w:pPr>
    </w:p>
    <w:sectPr w:rsidR="00863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25ED" w14:textId="77777777" w:rsidR="004D7EB3" w:rsidRDefault="004D7EB3">
      <w:r>
        <w:separator/>
      </w:r>
    </w:p>
  </w:endnote>
  <w:endnote w:type="continuationSeparator" w:id="0">
    <w:p w14:paraId="6AD4F0E4" w14:textId="77777777" w:rsidR="004D7EB3" w:rsidRDefault="004D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2783"/>
      <w:docPartObj>
        <w:docPartGallery w:val="Page Numbers (Bottom of Page)"/>
        <w:docPartUnique/>
      </w:docPartObj>
    </w:sdtPr>
    <w:sdtEndPr/>
    <w:sdtContent>
      <w:p w14:paraId="7F666124" w14:textId="77777777" w:rsidR="005A726E" w:rsidRDefault="005A726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C2" w:rsidRPr="00A428C2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7F666125" w14:textId="77777777" w:rsidR="005A726E" w:rsidRDefault="005A72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6126" w14:textId="77777777" w:rsidR="00626779" w:rsidRDefault="00626779">
    <w:pPr>
      <w:pStyle w:val="a3"/>
      <w:jc w:val="center"/>
    </w:pPr>
  </w:p>
  <w:p w14:paraId="7F666127" w14:textId="77777777" w:rsidR="00626779" w:rsidRDefault="006267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8D64" w14:textId="77777777" w:rsidR="004D7EB3" w:rsidRDefault="004D7EB3">
      <w:r>
        <w:separator/>
      </w:r>
    </w:p>
  </w:footnote>
  <w:footnote w:type="continuationSeparator" w:id="0">
    <w:p w14:paraId="4AE3B227" w14:textId="77777777" w:rsidR="004D7EB3" w:rsidRDefault="004D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81F"/>
    <w:multiLevelType w:val="hybridMultilevel"/>
    <w:tmpl w:val="3A66A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A4C4C"/>
    <w:multiLevelType w:val="hybridMultilevel"/>
    <w:tmpl w:val="9CDAE7A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25069"/>
    <w:multiLevelType w:val="hybridMultilevel"/>
    <w:tmpl w:val="4F74975A"/>
    <w:lvl w:ilvl="0" w:tplc="086C83F8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6FF5B78"/>
    <w:multiLevelType w:val="hybridMultilevel"/>
    <w:tmpl w:val="C122D3C8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9082A"/>
    <w:multiLevelType w:val="hybridMultilevel"/>
    <w:tmpl w:val="C48A8B58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0E4401"/>
    <w:multiLevelType w:val="hybridMultilevel"/>
    <w:tmpl w:val="F63CE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F624F"/>
    <w:multiLevelType w:val="hybridMultilevel"/>
    <w:tmpl w:val="9CDAE7A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3B044B"/>
    <w:multiLevelType w:val="hybridMultilevel"/>
    <w:tmpl w:val="C48A8B58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252954"/>
    <w:multiLevelType w:val="hybridMultilevel"/>
    <w:tmpl w:val="9CDAE7A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13B3"/>
    <w:multiLevelType w:val="hybridMultilevel"/>
    <w:tmpl w:val="8E061DE4"/>
    <w:lvl w:ilvl="0" w:tplc="6B54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CFF5268"/>
    <w:multiLevelType w:val="hybridMultilevel"/>
    <w:tmpl w:val="BED8E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50068F"/>
    <w:multiLevelType w:val="hybridMultilevel"/>
    <w:tmpl w:val="9CDAE7A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574D7C"/>
    <w:multiLevelType w:val="hybridMultilevel"/>
    <w:tmpl w:val="B33482DA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E80144"/>
    <w:multiLevelType w:val="hybridMultilevel"/>
    <w:tmpl w:val="9CDAE7A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260801"/>
    <w:multiLevelType w:val="hybridMultilevel"/>
    <w:tmpl w:val="6E1A7CB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064B7"/>
    <w:multiLevelType w:val="hybridMultilevel"/>
    <w:tmpl w:val="F9C4A1B2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F35444"/>
    <w:multiLevelType w:val="hybridMultilevel"/>
    <w:tmpl w:val="9CDAE7AE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7B22FC"/>
    <w:multiLevelType w:val="hybridMultilevel"/>
    <w:tmpl w:val="A5A89D6C"/>
    <w:lvl w:ilvl="0" w:tplc="22DA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0158E9"/>
    <w:multiLevelType w:val="hybridMultilevel"/>
    <w:tmpl w:val="58842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A02FE1"/>
    <w:multiLevelType w:val="hybridMultilevel"/>
    <w:tmpl w:val="3564C556"/>
    <w:lvl w:ilvl="0" w:tplc="02DCF46C">
      <w:start w:val="1"/>
      <w:numFmt w:val="decimal"/>
      <w:lvlText w:val="%1."/>
      <w:lvlJc w:val="left"/>
      <w:pPr>
        <w:ind w:left="48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6E"/>
    <w:rsid w:val="00074136"/>
    <w:rsid w:val="000E37A4"/>
    <w:rsid w:val="0011594E"/>
    <w:rsid w:val="001365EB"/>
    <w:rsid w:val="0015256A"/>
    <w:rsid w:val="00155FC4"/>
    <w:rsid w:val="00180F24"/>
    <w:rsid w:val="0019477A"/>
    <w:rsid w:val="001B6D3E"/>
    <w:rsid w:val="001F5562"/>
    <w:rsid w:val="00205B05"/>
    <w:rsid w:val="0023035A"/>
    <w:rsid w:val="00257DD7"/>
    <w:rsid w:val="002918C1"/>
    <w:rsid w:val="002D7E8E"/>
    <w:rsid w:val="0033460F"/>
    <w:rsid w:val="0039185C"/>
    <w:rsid w:val="00391D83"/>
    <w:rsid w:val="00396B12"/>
    <w:rsid w:val="00432FBE"/>
    <w:rsid w:val="00482B78"/>
    <w:rsid w:val="004B297F"/>
    <w:rsid w:val="004B4287"/>
    <w:rsid w:val="004C045D"/>
    <w:rsid w:val="004D6042"/>
    <w:rsid w:val="004D7EB3"/>
    <w:rsid w:val="005216B6"/>
    <w:rsid w:val="00565B92"/>
    <w:rsid w:val="00576343"/>
    <w:rsid w:val="005A726E"/>
    <w:rsid w:val="005B1D30"/>
    <w:rsid w:val="00626779"/>
    <w:rsid w:val="0064187A"/>
    <w:rsid w:val="0066643E"/>
    <w:rsid w:val="006A154A"/>
    <w:rsid w:val="00761537"/>
    <w:rsid w:val="00835598"/>
    <w:rsid w:val="00843DCC"/>
    <w:rsid w:val="00863784"/>
    <w:rsid w:val="008E0FAA"/>
    <w:rsid w:val="009C09F9"/>
    <w:rsid w:val="00A428C2"/>
    <w:rsid w:val="00A8505A"/>
    <w:rsid w:val="00AA74E8"/>
    <w:rsid w:val="00B47AB8"/>
    <w:rsid w:val="00B954CF"/>
    <w:rsid w:val="00BA6274"/>
    <w:rsid w:val="00BC2EBC"/>
    <w:rsid w:val="00C11715"/>
    <w:rsid w:val="00C218AA"/>
    <w:rsid w:val="00C33E58"/>
    <w:rsid w:val="00CD0790"/>
    <w:rsid w:val="00CD1D51"/>
    <w:rsid w:val="00CD4CCF"/>
    <w:rsid w:val="00CE236A"/>
    <w:rsid w:val="00CF32B8"/>
    <w:rsid w:val="00CF4B87"/>
    <w:rsid w:val="00D1560C"/>
    <w:rsid w:val="00E16B44"/>
    <w:rsid w:val="00E85CAD"/>
    <w:rsid w:val="00E95272"/>
    <w:rsid w:val="00EE0AA6"/>
    <w:rsid w:val="00EE18A9"/>
    <w:rsid w:val="00EE5858"/>
    <w:rsid w:val="00F434AF"/>
    <w:rsid w:val="00F522C7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666066"/>
  <w15:docId w15:val="{22628E5D-ABB6-43BA-A254-50389D3E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726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726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5A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72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6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26779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761537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66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547CF2C77493459D046C313784207E" ma:contentTypeVersion="0" ma:contentTypeDescription="建立新的文件。" ma:contentTypeScope="" ma:versionID="427593687168fa220f305efb45f092b7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MNTMPPY6CVD6-478-25904</_dlc_DocId>
    <_dlc_DocIdUrl xmlns="aba2323a-afa7-4201-a5cb-c99d63ad9bb4">
      <Url>http://oic.asia.edu.tw/adm/qae/is/_layouts/15/DocIdRedir.aspx?ID=MNTMPPY6CVD6-478-25904</Url>
      <Description>MNTMPPY6CVD6-478-25904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11F15-A4D8-40D8-BCA5-CC35582E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7608D-4F5E-4BDC-AF93-6EF58353E1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47E6B3-63D7-4798-911E-D1DBF54EB01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aba2323a-afa7-4201-a5cb-c99d63ad9bb4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195F43F-2B7A-45DE-885F-32F0F988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asia6131</dc:creator>
  <cp:lastModifiedBy>Asiauser</cp:lastModifiedBy>
  <cp:revision>2</cp:revision>
  <cp:lastPrinted>2015-06-05T06:03:00Z</cp:lastPrinted>
  <dcterms:created xsi:type="dcterms:W3CDTF">2015-06-23T01:25:00Z</dcterms:created>
  <dcterms:modified xsi:type="dcterms:W3CDTF">2015-06-23T01:25:00Z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88353897-ae0e-4a09-a2d8-dfe1744968ab</vt:lpwstr>
  </property>
  <property fmtid="{D5CDD505-2E9C-101B-9397-08002B2CF9AE}" pid="3" name="ContentTypeId">
    <vt:lpwstr>0x01010044547CF2C77493459D046C313784207E</vt:lpwstr>
  </property>
</Properties>
</file>